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right"/>
      </w:pPr>
      <w:r>
        <w:t xml:space="preserve">Приложение         </w:t>
      </w:r>
    </w:p>
    <w:p>
      <w:pPr>
        <w:spacing/>
        <w:jc w:val="right"/>
      </w:pPr>
      <w:r>
        <w:t xml:space="preserve">  УТВЕРЖДЕНО</w:t>
      </w:r>
    </w:p>
    <w:p>
      <w:pPr>
        <w:spacing/>
        <w:jc w:val="right"/>
      </w:pPr>
      <w:r>
        <w:t xml:space="preserve">                                                                             приказом руководителя филиала </w:t>
      </w:r>
    </w:p>
    <w:p>
      <w:pPr>
        <w:spacing/>
        <w:jc w:val="right"/>
      </w:pPr>
      <w:r>
        <w:t>ГРДНТ им. В.Д.  Поленова «ФУКЦ РФ»</w:t>
      </w:r>
    </w:p>
    <w:p>
      <w:pPr>
        <w:spacing/>
        <w:jc w:val="right"/>
      </w:pPr>
      <w:r>
        <w:t>от «28» декабря 2024 г.   № 103/01-08</w:t>
      </w:r>
    </w:p>
    <w:p>
      <w:pPr>
        <w:pStyle w:val="para1"/>
      </w:pPr>
      <w:r>
        <w:t>ПЛАН</w:t>
      </w:r>
    </w:p>
    <w:p>
      <w:pPr>
        <w:pStyle w:val="para1"/>
      </w:pPr>
      <w:r>
        <w:t xml:space="preserve">мероприятий по противодействию коррупции </w:t>
      </w:r>
    </w:p>
    <w:p>
      <w:pPr>
        <w:pStyle w:val="para1"/>
      </w:pPr>
      <w:r>
        <w:t>филиала ГРДНТ им. В.Д. Поленова «Финно-угорский культурный центр Российской Федерации» на 2025 год</w:t>
      </w:r>
    </w:p>
    <w:p>
      <w:r/>
    </w:p>
    <w:tbl>
      <w:tblPr>
        <w:tblStyle w:val="TableNormal"/>
        <w:name w:val="Таблица1"/>
        <w:tabOrder w:val="0"/>
        <w:jc w:val="left"/>
        <w:tblInd w:w="0" w:type="dxa"/>
        <w:tblW w:w="14786" w:type="dxa"/>
        <w:pPr>
          <w:widowControl w:val="0"/>
        </w:pPr>
        <w:tblLook w:val="0600" w:firstRow="0" w:lastRow="0" w:firstColumn="0" w:lastColumn="0" w:noHBand="1" w:noVBand="1"/>
      </w:tblPr>
      <w:tblGrid>
        <w:gridCol w:w="754"/>
        <w:gridCol w:w="8709"/>
        <w:gridCol w:w="2552"/>
        <w:gridCol w:w="2771"/>
      </w:tblGrid>
      <w:tr>
        <w:trPr>
          <w:tblHeader w:val="0"/>
          <w:cantSplit w:val="0"/>
          <w:trHeight w:val="387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изменений в антикоррупционном законодательстве Российской Федерации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rPr>
                <w:rFonts w:eastAsia="Calibri"/>
                <w:lang w:eastAsia="en-us"/>
              </w:rPr>
            </w:pPr>
            <w:r>
              <w:t xml:space="preserve">Оценка </w:t>
            </w:r>
            <w:r>
              <w:rPr>
                <w:rFonts w:eastAsia="SimSun"/>
                <w:kern w:val="1"/>
                <w:lang w:eastAsia="zh-cn"/>
              </w:rPr>
              <w:t xml:space="preserve">коррупционных рисков в деятельности Филиала </w:t>
            </w:r>
            <w:r>
              <w:rPr>
                <w:rFonts w:eastAsia="Calibri"/>
                <w:lang w:eastAsia="en-us"/>
              </w:rPr>
              <w:t>ГРДНТ им. В.Д. Поленова «ФУКЦ РФ»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/>
            <w:r>
              <w:t>до 01 марта 2025 года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 w:eastAsia="SimSun"/>
                <w:b/>
                <w:color w:val="545f62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программе повышения квалификации в сфере противодействия коррупции </w:t>
            </w:r>
            <w:r>
              <w:rPr>
                <w:rFonts w:ascii="Times New Roman" w:hAnsi="Times New Roman" w:eastAsia="SimSun"/>
                <w:color w:val="000000"/>
                <w:kern w:val="1"/>
                <w:sz w:val="24"/>
                <w:szCs w:val="24"/>
                <w:lang w:eastAsia="zh-cn"/>
              </w:rPr>
              <w:t>заведующего отделом организационно-технического обеспечения </w:t>
            </w:r>
            <w:r>
              <w:rPr>
                <w:rFonts w:ascii="Times New Roman" w:hAnsi="Times New Roman" w:eastAsia="SimSun"/>
                <w:b/>
                <w:color w:val="545f62"/>
                <w:kern w:val="1"/>
                <w:sz w:val="24"/>
                <w:szCs w:val="24"/>
                <w:lang w:eastAsia="zh-cn"/>
              </w:rPr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spacing/>
              <w:jc w:val="center"/>
            </w:pPr>
            <w:r>
              <w:t>первое полугодие 2025 года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разъяснения распространения на отдельные категории работников филиала ГРДНТ им. В.Д. Поленова «ФУКЦ РФ» ограничений, запретов и обязанностей, установленных Федеральным законом «О противодействии коррупции» и другими федеральными законами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  <w:tr>
        <w:trPr>
          <w:tblHeader w:val="0"/>
          <w:cantSplit w:val="0"/>
          <w:trHeight w:val="210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работников филиала ГРНДТ им. В.Д. Поленова «ФУКЦ РФ» по вопросам представления сведений о доходах, расходов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разъяснительных и иных мер по соблюдению работниками филиала ГРДНТ им. В.Д. Поленова «ФУКЦ РФ» установленного порядка сообщения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направления сведений о доходах, расходах, об имуществе и обязательствах имущественного характера, представляемых отдельными категориями работников филиала ГРНДТ им. В.Д. Поленова «ФУКЦ РФ». Обеспечение контроля за своевременностью представления указанных сведений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2025 года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  <w:tr>
        <w:trPr>
          <w:tblHeader w:val="0"/>
          <w:cantSplit w:val="0"/>
          <w:trHeight w:val="225" w:hRule="atLeast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опубликованию сведений о фактической среднемесячной заработной плате руководителя филиала, главного бухгалтера за отчетный период на официальном сайте филиала ГРНДТ им. В.Д. Поленова «ФУКЦ РФ» и размещение указанных сведений на официальном сайте филиала ГРНДТ им. В.Д. Поленова «ФУКЦ РФ»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30 апреля 2025 года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Брызгалова Н.А.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уведомлений работников филиала ГРНДТ им. В.Д. Поленова «ФУКЦ РФ» о факте обращения в целях склонения к совершению коррупционных правонарушений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работники филиала ГРНДТ им В.Д. Поленова «ФУКЦ РФ»,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РФ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доведению до граждан, поступающих на работу в филиал ГРДНТ им. В.Д. Поленова «ФУКЦ РФ», положений антикоррупционного законодательства РФ, в т.ч.: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 коррупции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приеме на работу новых сотрудников 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взаимодействия с ГРДНТ им. В.Д. Поленова, правоохранительными органами и иными государственными органами по вопросам противодействия коррупции в филиале ГРДНТ им. В.Д. Поленова «ФУКЦ РФ»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филиала ГРНДТ им В.Д. Поленова «ФУКЦ РФ» в информационно-коммуникационной сети Интернет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Брызгалова Н.А.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numPr>
                <w:ilvl w:val="0"/>
                <w:numId w:val="1"/>
              </w:numPr>
              <w:ind w:left="360" w:hanging="360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/>
            <w:r>
              <w:t xml:space="preserve">Организация заседания Комиссии по противодействию коррупции (итоги 2025 года, определение плана работы на 2026 г.) 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spacing/>
              <w:jc w:val="center"/>
            </w:pPr>
            <w:r>
              <w:t>IVквартал</w:t>
            </w:r>
          </w:p>
        </w:tc>
        <w:tc>
          <w:tcPr>
            <w:tcW w:w="27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8247188" protected="1"/>
          </w:tcPr>
          <w:p>
            <w:pPr>
              <w:pStyle w:val="para5"/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</w:tr>
    </w:tbl>
    <w:p>
      <w:pPr>
        <w:widowControl w:val="0"/>
      </w:pPr>
      <w:r/>
    </w:p>
    <w:p>
      <w:pPr>
        <w:ind w:firstLine="708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8"/>
      <w:type w:val="nextPage"/>
      <w:pgSz w:h="11906" w:w="16838" w:orient="landscape"/>
      <w:pgMar w:left="1134" w:top="851" w:right="1134" w:bottom="851" w:header="0" w:footer="709"/>
      <w:paperSrc w:first="0" w:other="0" a="0" b="0"/>
      <w:pgNumType w:fmt="decimal"/>
      <w:titlePg/>
      <w:tmGutter w:val="3"/>
      <w:mirrorMargins w:val="0"/>
      <w:tmSection w:h="-2">
        <w:tmFooter w:id="0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7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  <w:p>
    <w:pPr>
      <w:pStyle w:val="para7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2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2"/>
    <w:tmLastPosFrameIdx w:val="0"/>
    <w:tmLastPosCaret>
      <w:tmLastPosPgfIdx w:val="9"/>
      <w:tmLastPosIdx w:val="0"/>
    </w:tmLastPosCaret>
    <w:tmLastPosAnchor>
      <w:tmLastPosPgfIdx w:val="0"/>
      <w:tmLastPosIdx w:val="0"/>
    </w:tmLastPosAnchor>
    <w:tmLastPosTblRect w:left="3" w:top="9" w:right="3" w:bottom="14"/>
  </w:tmLastPos>
  <w:tmAppRevision w:date="1738247188" w:val="1068" w:fileVer="342" w:fileVerOS="4">
    <w:pdfExportOpt pagesRangeIndex="4" pagesSelectionIndex="0" customRangeInfo="2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\\192.168.3.200\общие\ПРОТИВОДЕЙСТВИЕ КОРРУПЦИИ\План на 2025 год.pdf" map="1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para1">
    <w:name w:val="heading 4"/>
    <w:qFormat/>
    <w:basedOn w:val="para0"/>
    <w:next w:val="para0"/>
    <w:pPr>
      <w:spacing/>
      <w:jc w:val="center"/>
      <w:keepNext/>
      <w:outlineLvl w:val="3"/>
    </w:pPr>
    <w:rPr>
      <w:b/>
      <w:bCs/>
    </w:rPr>
  </w:style>
  <w:style w:type="paragraph" w:styleId="para2">
    <w:name w:val="Body Text Indent"/>
    <w:qFormat/>
    <w:basedOn w:val="para0"/>
    <w:pPr>
      <w:ind w:firstLine="708"/>
    </w:pPr>
    <w:rPr>
      <w:sz w:val="26"/>
    </w:rPr>
  </w:style>
  <w:style w:type="paragraph" w:styleId="para3">
    <w:name w:val="Body Text"/>
    <w:qFormat/>
    <w:basedOn w:val="para0"/>
    <w:pPr>
      <w:spacing w:after="120"/>
    </w:pPr>
  </w:style>
  <w:style w:type="paragraph" w:styleId="para4">
    <w:name w:val="Body Text Indent 2"/>
    <w:qFormat/>
    <w:basedOn w:val="para0"/>
    <w:pPr>
      <w:ind w:left="283"/>
      <w:spacing w:after="120" w:line="480" w:lineRule="auto"/>
    </w:pPr>
  </w:style>
  <w:style w:type="paragraph" w:styleId="para5">
    <w:name w:val="No Spacing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para6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7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ConsPlusNormal"/>
    <w:qFormat/>
    <w:pPr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 w:cs="Calibri"/>
      <w:kern w:val="1"/>
      <w:sz w:val="22"/>
      <w:szCs w:val="22"/>
      <w:lang w:val="ru-ru" w:eastAsia="zh-cn" w:bidi="ar-sa"/>
    </w:rPr>
  </w:style>
  <w:style w:type="paragraph" w:styleId="para10">
    <w:name w:val="toc 4"/>
    <w:qFormat/>
    <w:basedOn w:val="para0"/>
    <w:next w:val="para0"/>
    <w:pPr>
      <w:ind w:left="849"/>
    </w:pPr>
  </w:style>
  <w:style w:type="character" w:styleId="char0" w:default="1">
    <w:name w:val="Default Paragraph Font"/>
  </w:style>
  <w:style w:type="character" w:styleId="char1" w:customStyle="1">
    <w:name w:val="Основной текст с отступом Знак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char2" w:customStyle="1">
    <w:name w:val="Основной текст Знак"/>
    <w:rPr>
      <w:rFonts w:ascii="Times New Roman" w:hAnsi="Times New Roman" w:eastAsia="Times New Roman"/>
      <w:sz w:val="24"/>
      <w:szCs w:val="24"/>
    </w:rPr>
  </w:style>
  <w:style w:type="character" w:styleId="char3" w:customStyle="1">
    <w:name w:val="Основной текст с отступом 2 Знак"/>
    <w:rPr>
      <w:rFonts w:ascii="Times New Roman" w:hAnsi="Times New Roman" w:eastAsia="Times New Roman"/>
      <w:sz w:val="24"/>
      <w:szCs w:val="24"/>
    </w:rPr>
  </w:style>
  <w:style w:type="character" w:styleId="char4" w:customStyle="1">
    <w:name w:val="Заголовок 4 Знак"/>
    <w:rPr>
      <w:rFonts w:ascii="Times New Roman" w:hAnsi="Times New Roman" w:eastAsia="Times New Roman"/>
      <w:b/>
      <w:bCs/>
      <w:sz w:val="24"/>
      <w:szCs w:val="24"/>
    </w:rPr>
  </w:style>
  <w:style w:type="character" w:styleId="char5" w:customStyle="1">
    <w:name w:val="Верхний колонтитул Знак"/>
    <w:rPr>
      <w:rFonts w:ascii="Times New Roman" w:hAnsi="Times New Roman" w:eastAsia="Times New Roman"/>
      <w:sz w:val="24"/>
      <w:szCs w:val="24"/>
    </w:rPr>
  </w:style>
  <w:style w:type="character" w:styleId="char6" w:customStyle="1">
    <w:name w:val="Нижний колонтитул Знак"/>
    <w:rPr>
      <w:rFonts w:ascii="Times New Roman" w:hAnsi="Times New Roman" w:eastAsia="Times New Roman"/>
      <w:sz w:val="24"/>
      <w:szCs w:val="24"/>
    </w:rPr>
  </w:style>
  <w:style w:type="character" w:styleId="char7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para1">
    <w:name w:val="heading 4"/>
    <w:qFormat/>
    <w:basedOn w:val="para0"/>
    <w:next w:val="para0"/>
    <w:pPr>
      <w:spacing/>
      <w:jc w:val="center"/>
      <w:keepNext/>
      <w:outlineLvl w:val="3"/>
    </w:pPr>
    <w:rPr>
      <w:b/>
      <w:bCs/>
    </w:rPr>
  </w:style>
  <w:style w:type="paragraph" w:styleId="para2">
    <w:name w:val="Body Text Indent"/>
    <w:qFormat/>
    <w:basedOn w:val="para0"/>
    <w:pPr>
      <w:ind w:firstLine="708"/>
    </w:pPr>
    <w:rPr>
      <w:sz w:val="26"/>
    </w:rPr>
  </w:style>
  <w:style w:type="paragraph" w:styleId="para3">
    <w:name w:val="Body Text"/>
    <w:qFormat/>
    <w:basedOn w:val="para0"/>
    <w:pPr>
      <w:spacing w:after="120"/>
    </w:pPr>
  </w:style>
  <w:style w:type="paragraph" w:styleId="para4">
    <w:name w:val="Body Text Indent 2"/>
    <w:qFormat/>
    <w:basedOn w:val="para0"/>
    <w:pPr>
      <w:ind w:left="283"/>
      <w:spacing w:after="120" w:line="480" w:lineRule="auto"/>
    </w:pPr>
  </w:style>
  <w:style w:type="paragraph" w:styleId="para5">
    <w:name w:val="No Spacing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para6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7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ConsPlusNormal"/>
    <w:qFormat/>
    <w:pPr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 w:cs="Calibri"/>
      <w:kern w:val="1"/>
      <w:sz w:val="22"/>
      <w:szCs w:val="22"/>
      <w:lang w:val="ru-ru" w:eastAsia="zh-cn" w:bidi="ar-sa"/>
    </w:rPr>
  </w:style>
  <w:style w:type="paragraph" w:styleId="para10">
    <w:name w:val="toc 4"/>
    <w:qFormat/>
    <w:basedOn w:val="para0"/>
    <w:next w:val="para0"/>
    <w:pPr>
      <w:ind w:left="849"/>
    </w:pPr>
  </w:style>
  <w:style w:type="character" w:styleId="char0" w:default="1">
    <w:name w:val="Default Paragraph Font"/>
  </w:style>
  <w:style w:type="character" w:styleId="char1" w:customStyle="1">
    <w:name w:val="Основной текст с отступом Знак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char2" w:customStyle="1">
    <w:name w:val="Основной текст Знак"/>
    <w:rPr>
      <w:rFonts w:ascii="Times New Roman" w:hAnsi="Times New Roman" w:eastAsia="Times New Roman"/>
      <w:sz w:val="24"/>
      <w:szCs w:val="24"/>
    </w:rPr>
  </w:style>
  <w:style w:type="character" w:styleId="char3" w:customStyle="1">
    <w:name w:val="Основной текст с отступом 2 Знак"/>
    <w:rPr>
      <w:rFonts w:ascii="Times New Roman" w:hAnsi="Times New Roman" w:eastAsia="Times New Roman"/>
      <w:sz w:val="24"/>
      <w:szCs w:val="24"/>
    </w:rPr>
  </w:style>
  <w:style w:type="character" w:styleId="char4" w:customStyle="1">
    <w:name w:val="Заголовок 4 Знак"/>
    <w:rPr>
      <w:rFonts w:ascii="Times New Roman" w:hAnsi="Times New Roman" w:eastAsia="Times New Roman"/>
      <w:b/>
      <w:bCs/>
      <w:sz w:val="24"/>
      <w:szCs w:val="24"/>
    </w:rPr>
  </w:style>
  <w:style w:type="character" w:styleId="char5" w:customStyle="1">
    <w:name w:val="Верхний колонтитул Знак"/>
    <w:rPr>
      <w:rFonts w:ascii="Times New Roman" w:hAnsi="Times New Roman" w:eastAsia="Times New Roman"/>
      <w:sz w:val="24"/>
      <w:szCs w:val="24"/>
    </w:rPr>
  </w:style>
  <w:style w:type="character" w:styleId="char6" w:customStyle="1">
    <w:name w:val="Нижний колонтитул Знак"/>
    <w:rPr>
      <w:rFonts w:ascii="Times New Roman" w:hAnsi="Times New Roman" w:eastAsia="Times New Roman"/>
      <w:sz w:val="24"/>
      <w:szCs w:val="24"/>
    </w:rPr>
  </w:style>
  <w:style w:type="character" w:styleId="char7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Дукачёва</dc:creator>
  <cp:keywords/>
  <dc:description/>
  <cp:lastModifiedBy/>
  <cp:revision>21</cp:revision>
  <cp:lastPrinted>2024-07-31T08:21:52Z</cp:lastPrinted>
  <dcterms:created xsi:type="dcterms:W3CDTF">2022-05-25T13:13:00Z</dcterms:created>
  <dcterms:modified xsi:type="dcterms:W3CDTF">2025-01-30T14:26:28Z</dcterms:modified>
</cp:coreProperties>
</file>