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9354" w:type="dxa"/>
        <w:tblLook w:val="01E0" w:firstRow="1" w:lastRow="1" w:firstColumn="1" w:lastColumn="1" w:noHBand="0" w:noVBand="0"/>
      </w:tblPr>
      <w:tblGrid>
        <w:gridCol w:w="5150"/>
        <w:gridCol w:w="4204"/>
      </w:tblGrid>
      <w:tr>
        <w:trPr>
          <w:tblHeader w:val="0"/>
          <w:cantSplit w:val="0"/>
          <w:trHeight w:val="2229" w:hRule="atLeast"/>
        </w:trPr>
        <w:tc>
          <w:tcPr>
            <w:tcW w:w="5150" w:type="dxa"/>
            <w:tmTcPr id="1720436202" protected="0"/>
          </w:tcPr>
          <w:p>
            <w:pPr>
              <w:pStyle w:val="para1"/>
              <w:numPr>
                <w:ilvl w:val="0"/>
                <w:numId w:val="0"/>
              </w:numPr>
              <w:ind w:left="340" w:firstLine="0"/>
              <w:spacing w:line="257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204" w:type="dxa"/>
            <w:tmTcPr id="1720436202" protected="0"/>
          </w:tcPr>
          <w:p>
            <w:pPr>
              <w:pStyle w:val="para1"/>
              <w:spacing w:line="276" w:lineRule="auto"/>
              <w:jc w:val="right"/>
              <w:outlineLvl w:val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Приложение 1</w:t>
            </w:r>
          </w:p>
          <w:p>
            <w:pPr>
              <w:pStyle w:val="para1"/>
              <w:spacing w:line="276" w:lineRule="auto"/>
              <w:outlineLvl w:val="0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</w:r>
          </w:p>
          <w:p>
            <w:pPr>
              <w:pStyle w:val="para1"/>
              <w:spacing w:line="276" w:lineRule="auto"/>
              <w:outlineLvl w:val="0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УТВЕРЖДЕНО</w:t>
            </w:r>
          </w:p>
          <w:p>
            <w:pPr>
              <w:pStyle w:val="para1"/>
              <w:spacing w:line="276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приказом руководителя филиала ГРДНТ им. В.Д. Поленова</w:t>
            </w:r>
            <w:r>
              <w:rPr>
                <w:rFonts w:ascii="Times New Roman" w:hAnsi="Times New Roman" w:eastAsia="Times New Roman" w:cs="Times New Roman"/>
              </w:rPr>
              <w:t xml:space="preserve"> «ФУКЦ РФ»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para1"/>
              <w:spacing w:line="276" w:lineRule="auto"/>
              <w:outlineLvl w:val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от 17.06.2024 № 45/01-08</w:t>
            </w:r>
          </w:p>
          <w:p>
            <w:pPr>
              <w:pStyle w:val="para1"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para1"/>
        <w:rPr>
          <w:highlight w:val="yellow"/>
        </w:rPr>
      </w:pPr>
      <w:r>
        <w:rPr>
          <w:highlight w:val="yellow"/>
        </w:rPr>
      </w:r>
    </w:p>
    <w:p>
      <w:pPr>
        <w:pStyle w:val="para1"/>
        <w:ind w:left="4956"/>
        <w:rPr>
          <w:highlight w:val="yellow"/>
        </w:rPr>
      </w:pPr>
      <w:r>
        <w:rPr>
          <w:highlight w:val="yellow"/>
        </w:rPr>
      </w:r>
    </w:p>
    <w:p>
      <w:pPr>
        <w:pStyle w:val="para1"/>
        <w:ind w:left="4956"/>
        <w:rPr>
          <w:highlight w:val="yellow"/>
        </w:rPr>
      </w:pPr>
      <w:r>
        <w:rPr>
          <w:highlight w:val="yellow"/>
        </w:rPr>
      </w:r>
    </w:p>
    <w:p>
      <w:pPr>
        <w:pStyle w:val="para1"/>
        <w:spacing/>
        <w:jc w:val="both"/>
        <w:rPr>
          <w:highlight w:val="yellow"/>
        </w:rPr>
      </w:pPr>
      <w:r>
        <w:rPr>
          <w:highlight w:val="yellow"/>
        </w:rPr>
      </w:r>
    </w:p>
    <w:p>
      <w:pPr>
        <w:pStyle w:val="para1"/>
        <w:spacing/>
        <w:jc w:val="center"/>
        <w:rPr>
          <w:rFonts w:ascii="Times New Roman" w:hAnsi="Times New Roman" w:eastAsia="Times New Roman" w:cs="Times New Roman"/>
          <w:b/>
          <w:bCs/>
        </w:rPr>
      </w:pPr>
      <w:r/>
      <w:bookmarkStart w:id="0" w:name="Par41"/>
      <w:r/>
      <w:bookmarkStart w:id="1" w:name="_Hlk167355425"/>
      <w:r/>
      <w:bookmarkEnd w:id="0"/>
      <w:r/>
      <w:r>
        <w:rPr>
          <w:rFonts w:ascii="Times New Roman" w:hAnsi="Times New Roman" w:eastAsia="Times New Roman" w:cs="Times New Roman"/>
          <w:b/>
          <w:bCs/>
        </w:rPr>
        <w:t xml:space="preserve">Положение 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Style w:val="para1"/>
        <w:spacing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bCs/>
        </w:rPr>
        <w:t xml:space="preserve">о порядке сообщения сотрудниками </w:t>
      </w:r>
      <w:r/>
      <w:bookmarkStart w:id="2" w:name="_Hlk82099219"/>
      <w:r/>
      <w:r>
        <w:rPr>
          <w:rFonts w:ascii="Times New Roman" w:hAnsi="Times New Roman" w:eastAsia="Times New Roman" w:cs="Times New Roman"/>
          <w:b/>
        </w:rPr>
        <w:t>филиала ГРДНТ им. В.Д. Поленова</w:t>
      </w:r>
      <w:r>
        <w:rPr>
          <w:rFonts w:ascii="Times New Roman" w:hAnsi="Times New Roman" w:eastAsia="Times New Roman" w:cs="Times New Roman"/>
          <w:b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«Финно-угорский культурный центр Российской Федерации»</w:t>
      </w:r>
    </w:p>
    <w:p>
      <w:pPr>
        <w:pStyle w:val="para1"/>
        <w:spacing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>
      <w:pPr>
        <w:pStyle w:val="para1"/>
        <w:spacing/>
        <w:jc w:val="center"/>
        <w:rPr>
          <w:rFonts w:ascii="Times New Roman" w:hAnsi="Times New Roman" w:eastAsia="Times New Roman" w:cs="Times New Roman"/>
          <w:b/>
          <w:bCs/>
        </w:rPr>
      </w:pPr>
      <w:r/>
      <w:bookmarkEnd w:id="1"/>
      <w:r/>
      <w:r>
        <w:rPr>
          <w:rFonts w:ascii="Times New Roman" w:hAnsi="Times New Roman" w:eastAsia="Times New Roman" w:cs="Times New Roman"/>
          <w:b/>
          <w:bCs/>
        </w:rPr>
      </w:r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pStyle w:val="para1"/>
        <w:ind w:firstLine="709"/>
        <w:spacing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г. Сыктывкар, 2024 г</w:t>
      </w:r>
      <w:r>
        <w:rPr>
          <w:b/>
          <w:bCs/>
        </w:rPr>
        <w:t>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br w:type="page"/>
      </w:r>
      <w:r>
        <w:rPr>
          <w:rFonts w:ascii="Times New Roman" w:hAnsi="Times New Roman" w:eastAsia="Times New Roman" w:cs="Times New Roman"/>
        </w:rPr>
        <w:t xml:space="preserve">1. Настоящее Положение определяет </w:t>
      </w:r>
      <w:hyperlink r:id="rId8" w:history="1">
        <w:r>
          <w:rPr>
            <w:rStyle w:val="char1"/>
            <w:rFonts w:ascii="Times New Roman" w:hAnsi="Times New Roman" w:eastAsia="Times New Roman" w:cs="Times New Roman"/>
            <w:color w:val="auto"/>
            <w:u w:color="auto" w:val="none"/>
          </w:rPr>
          <w:t>порядок</w:t>
        </w:r>
      </w:hyperlink>
      <w:r>
        <w:rPr>
          <w:rFonts w:ascii="Times New Roman" w:hAnsi="Times New Roman" w:eastAsia="Times New Roman" w:cs="Times New Roman"/>
        </w:rPr>
        <w:t xml:space="preserve"> сообщения сотрудниками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</w:rPr>
        <w:t>филиала ГРДНТ им. В.Д. Поленова «Финно-угорский культурный центр Российской Федерации»</w:t>
      </w:r>
      <w:r>
        <w:rPr>
          <w:rFonts w:ascii="Times New Roman" w:hAnsi="Times New Roman" w:eastAsia="Times New Roman" w:cs="Times New Roman"/>
          <w:bCs/>
        </w:rPr>
        <w:t xml:space="preserve"> (далее – Филиал)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rFonts w:ascii="Times New Roman" w:hAnsi="Times New Roman" w:eastAsia="Times New Roman" w:cs="Times New Roman"/>
          <w:bCs/>
        </w:rPr>
        <w:t>их должностным положением</w:t>
      </w:r>
      <w:r>
        <w:rPr>
          <w:rFonts w:ascii="Times New Roman" w:hAnsi="Times New Roman" w:eastAsia="Times New Roman" w:cs="Times New Roman"/>
          <w:bCs/>
        </w:rPr>
        <w:t xml:space="preserve"> или исполнением ими должностных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обязанностей, </w:t>
      </w:r>
      <w:r>
        <w:rPr>
          <w:rFonts w:ascii="Times New Roman" w:hAnsi="Times New Roman" w:eastAsia="Times New Roman" w:cs="Times New Roman"/>
          <w:bCs/>
        </w:rPr>
        <w:t>порядок сдачи и оценки подарка, реализации (выкупа) и зачисления средств, вырученных от его реализации.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2. Для целей настоящего Положения используются следующие понятия: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2.1. «подарок, полученный в связи с протокольными мероприятиями, служебными командировками и другими официальными мероприятиями» - подарок, полученный сотрудником Филиала от физических (юридических) лиц, которые осуществляют дарение исходя из должностного положения одаряемого или исполнения им должностных обязанностей,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2.2.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сотрудниками Филиала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2.3. «протокольное мероприятие» - мероприятие, при проведении которого предусмотрен сложившийся в результате ведомственных, национальных, культурных особенностей порядок (церемониал) и (или) ведение протокола – документа, фиксирующего ход проведения мероприятия;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2.4. «официальное мероприятие» - мероприятие, проведение которого подтверждено соответствующим распоряжением, приказом или иным распорядительным актом (например, служебная командировка, включая встречи и иные мероприятия в период командирования, проведение, совещаний, конференций, приемов представителей, членов официальных делегаций, должностных лиц государственных (муниципальных) органов, организаций, иностранных государств, прибывающих с официальным и рабочим визитом, встреч и переговоров).</w:t>
      </w:r>
    </w:p>
    <w:p>
      <w:pPr>
        <w:pStyle w:val="para1"/>
        <w:numPr>
          <w:ilvl w:val="0"/>
          <w:numId w:val="0"/>
        </w:numPr>
        <w:ind w:left="-57" w:firstLine="1126"/>
        <w: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</w:rPr>
        <w:t>3. Сотрудники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</w:rPr>
        <w:t>Филиала</w:t>
      </w:r>
      <w:r>
        <w:rPr>
          <w:rFonts w:ascii="Times New Roman" w:hAnsi="Times New Roman" w:eastAsia="Times New Roman" w:cs="Times New Roman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4. Сотрудникам </w:t>
      </w:r>
      <w:r>
        <w:rPr>
          <w:rFonts w:ascii="Times New Roman" w:hAnsi="Times New Roman" w:eastAsia="Times New Roman" w:cs="Times New Roman"/>
          <w:bCs/>
        </w:rPr>
        <w:t>Филиала</w:t>
      </w:r>
      <w:r>
        <w:rPr>
          <w:rFonts w:ascii="Times New Roman" w:hAnsi="Times New Roman" w:eastAsia="Times New Roman" w:cs="Times New Roman"/>
        </w:rPr>
        <w:t xml:space="preserve"> следует избегать получения (отказываться от получения) подарков от подчиненных, представителей поднадзорных (подконтрольных) органов и организаций, участников судопроизводства либо иного порядка рассмотрения дел, в которых сотрудник </w:t>
      </w:r>
      <w:r>
        <w:rPr>
          <w:rFonts w:ascii="Times New Roman" w:hAnsi="Times New Roman" w:eastAsia="Times New Roman" w:cs="Times New Roman"/>
          <w:bCs/>
        </w:rPr>
        <w:t>Филиала</w:t>
      </w:r>
      <w:r>
        <w:rPr>
          <w:rFonts w:ascii="Times New Roman" w:hAnsi="Times New Roman" w:eastAsia="Times New Roman" w:cs="Times New Roman"/>
          <w:highlight w:val="yellow"/>
        </w:rPr>
        <w:t xml:space="preserve"> </w:t>
      </w:r>
      <w:r>
        <w:rPr>
          <w:rFonts w:ascii="Times New Roman" w:hAnsi="Times New Roman" w:eastAsia="Times New Roman" w:cs="Times New Roman"/>
        </w:rPr>
        <w:t>принимает или принимал участие, граждан, обращения которых он рассматривает или рассматривал, либо их представителей.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4.1. При обнаружении сотрудником </w:t>
      </w:r>
      <w:r>
        <w:rPr>
          <w:rFonts w:ascii="Times New Roman" w:hAnsi="Times New Roman" w:eastAsia="Times New Roman" w:cs="Times New Roman"/>
          <w:bCs/>
        </w:rPr>
        <w:t>Филиала</w:t>
      </w:r>
      <w:r>
        <w:rPr>
          <w:rFonts w:ascii="Times New Roman" w:hAnsi="Times New Roman" w:eastAsia="Times New Roman" w:cs="Times New Roman"/>
        </w:rPr>
        <w:t xml:space="preserve"> подарка, оставленного для него одним из таких лиц на его рабочем месте, необходимо принять меры для возвращения подарка оставившему его лицу, а в случае невозможности его возврата (например, в связи с отсутствием контактных данных лица, оставившего подарок) незамедлительно письменно уведомить об этом лицо ответственное за прием и регистрацию уведомлений о получении подарков, одновременно сдав подарок материально ответственному лицу за прием, хранение, передачу и возврат подарков в </w:t>
      </w:r>
      <w:r>
        <w:rPr>
          <w:rFonts w:ascii="Times New Roman" w:hAnsi="Times New Roman" w:eastAsia="Times New Roman" w:cs="Times New Roman"/>
          <w:bCs/>
        </w:rPr>
        <w:t>Филиал</w:t>
      </w:r>
      <w:r>
        <w:rPr>
          <w:rFonts w:ascii="Times New Roman" w:hAnsi="Times New Roman" w:eastAsia="Times New Roman" w:cs="Times New Roman"/>
        </w:rPr>
        <w:t xml:space="preserve"> (далее – материально ответственное лицо).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4.2. Дальнейшие действия в отношении такого подарка должны определяться </w:t>
      </w:r>
      <w:r>
        <w:rPr>
          <w:rFonts w:ascii="Times New Roman" w:hAnsi="Times New Roman" w:eastAsia="SimSun" w:cs="Times New Roman"/>
          <w:kern w:val="1"/>
          <w:lang w:eastAsia="zh-cn"/>
        </w:rPr>
        <w:t>комиссией</w:t>
      </w:r>
      <w:r>
        <w:rPr>
          <w:rFonts w:ascii="Times New Roman" w:hAnsi="Times New Roman" w:cs="Times New Roman"/>
          <w:color w:val="000000"/>
          <w:kern w:val="1"/>
          <w:lang w:eastAsia="zh-cn"/>
        </w:rPr>
        <w:t xml:space="preserve"> по противодействию коррупции и урегулированию конфликта интересов </w:t>
      </w:r>
      <w:r>
        <w:rPr>
          <w:rFonts w:ascii="Times New Roman" w:hAnsi="Times New Roman" w:eastAsia="SimSun" w:cs="Times New Roman"/>
          <w:kern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Cs/>
        </w:rPr>
        <w:t>(далее - Комиссия)</w:t>
      </w:r>
      <w:r>
        <w:rPr>
          <w:rFonts w:ascii="Times New Roman" w:hAnsi="Times New Roman" w:eastAsia="Times New Roman" w:cs="Times New Roman"/>
        </w:rPr>
        <w:t xml:space="preserve">, при этом возврат такого подарка сотруднику </w:t>
      </w:r>
      <w:r>
        <w:rPr>
          <w:rFonts w:ascii="Times New Roman" w:hAnsi="Times New Roman" w:eastAsia="Times New Roman" w:cs="Times New Roman"/>
          <w:bCs/>
        </w:rPr>
        <w:t>Филиала</w:t>
      </w:r>
      <w:r>
        <w:rPr>
          <w:rFonts w:ascii="Times New Roman" w:hAnsi="Times New Roman" w:eastAsia="Times New Roman" w:cs="Times New Roman"/>
        </w:rPr>
        <w:t xml:space="preserve"> и его выкуп в названном случае невозможны.</w:t>
      </w:r>
      <w:r>
        <w:rPr>
          <w:rFonts w:ascii="Times New Roman" w:hAnsi="Times New Roman" w:eastAsia="Times New Roman" w:cs="Times New Roman"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5. Сотрудники Филиала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Исключением являются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(награды).</w:t>
      </w:r>
    </w:p>
    <w:p>
      <w:pPr>
        <w:pStyle w:val="para1"/>
        <w:numPr>
          <w:ilvl w:val="0"/>
          <w:numId w:val="0"/>
        </w:numPr>
        <w:ind w:left="-57" w:firstLine="737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6.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сотрудниками Филиала (приложение № 1 к настоящему положению, далее - уведомление), представляется не позднее 3 рабочих дней со дня получения подарка лицу ответственному за прием и регистрацию уведомлений о получении подарков.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В случае, если стоимость подарка составляет менее 3 (трех) тысяч рублей либо равна указанной сумме, документы об оплате (приобретении) подарка также прилагаются к уведомлению. При этом сам подарок в данной ситуации может не предъявляться и не сдаваться</w:t>
      </w:r>
      <w:r/>
      <w:bookmarkStart w:id="3" w:name="Par2"/>
      <w:r/>
      <w:bookmarkEnd w:id="3"/>
      <w:r/>
      <w:r>
        <w:rPr>
          <w:rFonts w:ascii="Times New Roman" w:hAnsi="Times New Roman" w:eastAsia="Times New Roman" w:cs="Times New Roman"/>
          <w:bCs/>
        </w:rPr>
        <w:t xml:space="preserve"> материально ответственному лицу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При невозможности подачи уведомления в сроки, указанные в </w:t>
      </w:r>
      <w:hyperlink w:anchor="Par0" w:history="1">
        <w:r>
          <w:rPr>
            <w:rStyle w:val="char1"/>
            <w:rFonts w:ascii="Times New Roman" w:hAnsi="Times New Roman" w:eastAsia="Times New Roman" w:cs="Times New Roman"/>
            <w:bCs/>
            <w:color w:val="auto"/>
            <w:u w:color="auto" w:val="none"/>
          </w:rPr>
          <w:t>абзацах первом</w:t>
        </w:r>
      </w:hyperlink>
      <w:r>
        <w:rPr>
          <w:rFonts w:ascii="Times New Roman" w:hAnsi="Times New Roman" w:eastAsia="Times New Roman" w:cs="Times New Roman"/>
          <w:bCs/>
        </w:rPr>
        <w:t xml:space="preserve"> и третьем </w:t>
      </w:r>
      <w:r>
        <w:rPr>
          <w:rFonts w:ascii="Times New Roman" w:hAnsi="Times New Roman" w:eastAsia="Times New Roman" w:cs="Times New Roman"/>
          <w:bCs/>
        </w:rPr>
        <w:t>настоящего пункта, по причине, не зависящей от сотрудника Филиала, оно представляется не позднее следующего дня после ее устранения.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Лицо ответственное за прием и регистрацию уведомлений о получении подарков, выясняет причины, по которой сотрудник Филиала не смог предоставить уведомление ранее, и сделать отметку о такой причине в представленном уведомлении. Уведомление регистрируется в день его поступления.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7. Уведомление составляется в 2-х экземплярах и регистрируется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</w:rPr>
        <w:t>лицом ответственным за прием и регистрацию уведомлений</w:t>
      </w:r>
      <w:r>
        <w:rPr>
          <w:rFonts w:ascii="Times New Roman" w:hAnsi="Times New Roman" w:eastAsia="Times New Roman" w:cs="Times New Roman"/>
          <w:bCs/>
        </w:rPr>
        <w:t xml:space="preserve"> о получении подарков</w:t>
      </w:r>
      <w:r>
        <w:rPr>
          <w:rFonts w:ascii="Times New Roman" w:hAnsi="Times New Roman" w:eastAsia="Times New Roman" w:cs="Times New Roman"/>
          <w:bCs/>
        </w:rPr>
        <w:t xml:space="preserve"> в журнале регистрации уведомлений о получении пода</w:t>
      </w:r>
      <w:r>
        <w:rPr>
          <w:rFonts w:ascii="Times New Roman" w:hAnsi="Times New Roman" w:eastAsia="Times New Roman" w:cs="Times New Roman"/>
          <w:bCs/>
        </w:rPr>
        <w:t>рка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приложение</w:t>
      </w:r>
      <w:r>
        <w:rPr>
          <w:rFonts w:ascii="Times New Roman" w:hAnsi="Times New Roman" w:eastAsia="Times New Roman" w:cs="Times New Roman"/>
          <w:bCs/>
        </w:rPr>
        <w:t xml:space="preserve"> N 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Times New Roman" w:cs="Times New Roman"/>
          <w:bCs/>
        </w:rPr>
        <w:t xml:space="preserve"> к </w:t>
      </w:r>
      <w:r>
        <w:rPr>
          <w:rFonts w:ascii="Times New Roman" w:hAnsi="Times New Roman" w:eastAsia="Times New Roman" w:cs="Times New Roman"/>
          <w:bCs/>
        </w:rPr>
        <w:t xml:space="preserve">настоящему </w:t>
      </w:r>
      <w:r>
        <w:rPr>
          <w:rFonts w:ascii="Times New Roman" w:hAnsi="Times New Roman" w:eastAsia="Times New Roman" w:cs="Times New Roman"/>
          <w:bCs/>
        </w:rPr>
        <w:t>положению</w:t>
      </w:r>
      <w:r>
        <w:rPr>
          <w:rFonts w:ascii="Times New Roman" w:hAnsi="Times New Roman" w:eastAsia="Times New Roman" w:cs="Times New Roman"/>
          <w:bCs/>
        </w:rPr>
        <w:t>)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Журнал регистрации уведомлений о получении подарка прошивается, нумеруется и скрепляется печатью Филиала. </w:t>
      </w:r>
      <w:r>
        <w:rPr>
          <w:rFonts w:ascii="Times New Roman" w:hAnsi="Times New Roman" w:eastAsia="Times New Roman" w:cs="Times New Roman"/>
          <w:bCs/>
        </w:rPr>
        <w:t>Одно уведомление может содержать информацию о нескольких подарках.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Один экземпляр уведомления возвращается сотруднику Филиала, представившему уведомление, с отметкой о регистрации, другой экземпляр направляется в финансово-экономический отдел Филиала, в соответствии с законодательством о бухгалтерском учете.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8. Подарок, стоимость которого подтверждается документами и превышает 3 (три) тысячи рублей, либо стоимость которого получившему его сотруднику Филиала неизвестна, сдается материально ответственному лицу за прием, хранение, передачу и возврат подарков, которое принимает его на хранение по акту приема-передачи (приложение № 3 к настоящему положению), не позднее 5 (пяти) рабочих дней со дня регистрации уведомления в соответствующем журнале регистрации уведомлений о получении подарка. 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8.1. После подписания акта приема-передачи подарок подлежит постановке на учет в соответствии с пунктом 10 настоящего Положения.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8.2. Акт приема-передачи составляется в 3 (трех) экземплярах: один экземпляр - для сотрудника Филиала, сдавшего подарок, второй экземпляр - для материально ответственного лица, принявшего подарок на хранение, третий экземпляр – в финансово-экономического отдел Филиала.</w:t>
      </w:r>
    </w:p>
    <w:p>
      <w:pPr>
        <w:ind w:firstLine="680"/>
        <w:spacing/>
        <w:jc w:val="both"/>
        <w:widowControl/>
      </w:pPr>
      <w:r>
        <w:rPr>
          <w:sz w:val="28"/>
          <w:szCs w:val="28"/>
          <w:lang w:eastAsia="en-us"/>
        </w:rPr>
        <w:t>8.3. Акт приема-передачи регистрируется в журнале учета актов приема-передачи (приложение № 4 к настоящему положению).</w:t>
      </w:r>
      <w:r>
        <w:t xml:space="preserve"> </w:t>
      </w:r>
    </w:p>
    <w:p>
      <w:pPr>
        <w:ind w:firstLine="680"/>
        <w:spacing/>
        <w:jc w:val="both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8.4. К подарку, принятому на хранение, материально ответственным лицом прикрепляется ярлык с указанием даты и номера акта приема-передачи такого подарка. </w:t>
      </w:r>
    </w:p>
    <w:p>
      <w:pPr>
        <w:ind w:firstLine="680"/>
        <w:spacing/>
        <w:jc w:val="both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8.5. Если сдаваемый подарок поврежден, информацию об этом необходимо указать также в акте приема-передачи.</w:t>
      </w:r>
    </w:p>
    <w:p>
      <w:pPr>
        <w:ind w:firstLine="680"/>
        <w:spacing/>
        <w:jc w:val="both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8.6. Хранение подарков и сопутствующих документов обеспечивается с соблюдением надлежащих условий и осуществляется в помещении, позволяющем обеспечить их сохранность.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сотрудник Филиала, получивший подарок.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10. В целях обеспечения надлежащего контроля за сохранностью подарков, принятых на хранение, следует осуществлять их учет вне балансовых счетов, а именно на забалансовом счете 02 «Материальные ценности на хранении» (до определения стоимости подарка).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Учет подарков осуществляется по цене, указанной в уведомлении. В случае отсутствия цены – определение его стоимости проводится финансово-экономическим отделом  Филиала в соответствии с пунктом 11 настоящего Положения.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Указанную процедуру необходимо осуществить не позднее двух месяцев со дня сдачи подарка.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финансово-экономическим отделом Филиала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11.1.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</w:t>
      </w:r>
      <w:r>
        <w:rPr>
          <w:rFonts w:ascii="Times New Roman" w:hAnsi="Times New Roman" w:cs="Times New Roman"/>
          <w:color w:val="000000"/>
        </w:rPr>
        <w:t xml:space="preserve">Комиссию </w:t>
      </w:r>
      <w:r>
        <w:rPr>
          <w:rFonts w:ascii="Times New Roman" w:hAnsi="Times New Roman" w:eastAsia="Times New Roman" w:cs="Times New Roman"/>
          <w:bCs/>
        </w:rPr>
        <w:t>уведомление о получении подарка, стоимость которого неизвестна, и непосредственно сдача подарка по акту приема-передачи.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11.2. Сведения о рыночной цене подтверждаются документально, в том числе посредством получения соответствующей информации в письменной форме от организаций-изготовителей.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цен, соответствующей информации, имеющейся у органов государственной статистики, а также в средствах массовой информации и специальной литературе, экспертных заключений (в том числе экспертов, привлеченных на добровольных началах).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11.3. По итогам определения текущей оценочной стоимости подарка в целях принятия его к бухгалтерскому учету составляется решение заседания Комиссии с приобщением материалов, послужившим основанием для определения текущей стоимости подарка.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11.4. При наличии документов, подтверждающих стоимость подарка (кассового чека, товарного чека, иного документа об оплате (приобретении) подарка), проведение процедур по определению текущей оценочной стоимости подарка в целях принятия его к бухгалтерскому учету не требуется.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11.5. Выписка из решения заседания Комиссии  о результатах определения стоимости подарка в течение 3 (трех) рабочих дней с даты заседания, направляется лицу, сдавшему подарок, и материально ответственному лицу, принявшему подарок на хранение. Если стоимость подарка не превышает 3 (три) тысячи рублей, в течение 5 (пяти) рабочих дней с даты заседания Комиссии подарок возвращается сдавшему его лицу по акту возврата (приложение N 5 к настоящему положению)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с одновременным </w:t>
      </w:r>
      <w:r>
        <w:rPr>
          <w:rFonts w:ascii="Times New Roman" w:hAnsi="Times New Roman" w:eastAsia="Times New Roman" w:cs="Times New Roman"/>
          <w:bCs/>
        </w:rPr>
        <w:t>списанием с забалансового счета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12. Ответственное лицо финансово-экономического отдела обеспечивает включение в соответствующий реестр имущества Филиала в установленном порядке принятого к бухгалтерскому учету подарка, стоимость которого превышает 3 (три) тысячи рублей.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13. Сотрудник Филиала, сдавший подарок, может его выкупить, направив на имя руководителя филиала соответствующее заявление о выкупе подарка (приложение № 6 к настоящему положению), не позднее двух месяцев со дня сдачи подарка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</w:rPr>
        <w:t>по акту приема-</w:t>
      </w:r>
      <w:r>
        <w:rPr>
          <w:rFonts w:ascii="Times New Roman" w:hAnsi="Times New Roman" w:eastAsia="Times New Roman" w:cs="Times New Roman"/>
          <w:bCs/>
        </w:rPr>
        <w:t>передачи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14. Заявление о выкупе подарка составляется в двух экземплярах и подается ответственному лицу за прием заявлений о выкупе подарков и их регистрацию. Один экземпляр заявления возвращается сотруднику Филиала, с отметкой о регистрации, другой экземпляр направляется в Комиссию  для организации процедуры оценки стоимости подарка для его выкупа.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Процедура оценки стоимости подарка для его выкупа осуществляется в соответствии с Федеральным законом от 29 июля 1998 г. № 135-ФЗ "Об оценочной деятельности в Российской Федерации" и должна быть завершена в течение 3 (трех) месяцев со дня поступления заявления о выкупе подарка.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Заявление о выкупе подарка регистрируется в соответствующем журнале регистрации заявлений о выкупе подарка (приложение N 7 к настоящему положению), который прошивается, нумеруется и скрепляется печатью Филиала. Одно заявление может содержать информацию о нескольких подарках.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15. Комиссия  в течение 3 (трех) месяцев со дня поступления заявления, указанного в пункте 1</w:t>
      </w:r>
      <w:hyperlink w:anchor="Par2" w:history="1">
        <w:r>
          <w:rPr>
            <w:rStyle w:val="char1"/>
            <w:rFonts w:ascii="Times New Roman" w:hAnsi="Times New Roman" w:eastAsia="Times New Roman" w:cs="Times New Roman"/>
            <w:bCs/>
            <w:color w:val="auto"/>
            <w:u w:color="auto" w:val="none"/>
          </w:rPr>
          <w:t>3</w:t>
        </w:r>
      </w:hyperlink>
      <w:r>
        <w:rPr>
          <w:rStyle w:val="char1"/>
          <w:rFonts w:ascii="Times New Roman" w:hAnsi="Times New Roman" w:eastAsia="Times New Roman" w:cs="Times New Roman"/>
          <w:bCs/>
          <w:color w:val="auto"/>
          <w:u w:color="auto" w:val="none"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настоящего </w:t>
      </w:r>
      <w:r>
        <w:rPr>
          <w:rFonts w:ascii="Times New Roman" w:hAnsi="Times New Roman" w:eastAsia="Times New Roman" w:cs="Times New Roman"/>
          <w:bCs/>
        </w:rPr>
        <w:t>П</w:t>
      </w:r>
      <w:r>
        <w:rPr>
          <w:rFonts w:ascii="Times New Roman" w:hAnsi="Times New Roman" w:eastAsia="Times New Roman" w:cs="Times New Roman"/>
          <w:bCs/>
        </w:rPr>
        <w:t xml:space="preserve">оложения, </w:t>
      </w:r>
      <w:r>
        <w:rPr>
          <w:rFonts w:ascii="Times New Roman" w:hAnsi="Times New Roman" w:eastAsia="Times New Roman" w:cs="Times New Roman"/>
          <w:bCs/>
        </w:rPr>
        <w:t>организует оценку стоимости подарка для реализации (выкупа)</w:t>
      </w:r>
      <w:r>
        <w:rPr>
          <w:rFonts w:ascii="Times New Roman" w:hAnsi="Times New Roman" w:eastAsia="Times New Roman" w:cs="Times New Roman"/>
          <w:bCs/>
        </w:rPr>
        <w:t xml:space="preserve"> и уведомляет в письменной форме лицо, подавшее </w:t>
      </w:r>
      <w:r>
        <w:rPr>
          <w:rFonts w:ascii="Times New Roman" w:hAnsi="Times New Roman" w:eastAsia="Times New Roman" w:cs="Times New Roman"/>
          <w:bCs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В случае отказа от выкупа подарка или отсутствия заявления о выкупе подарка, данный подарок подлежит отражению в бухгалтерском учете в составе основных фондов либо материальных запасов с одновременным списанием с забалансового счета, включения в реестр имущества и хранится у материально ответственного лица.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16.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r>
        <w:rPr>
          <w:rFonts w:ascii="Times New Roman" w:hAnsi="Times New Roman" w:eastAsia="Times New Roman" w:cs="Times New Roman"/>
        </w:rPr>
        <w:t xml:space="preserve">пункте 13 </w:t>
      </w:r>
      <w:r>
        <w:rPr>
          <w:rFonts w:ascii="Times New Roman" w:hAnsi="Times New Roman" w:eastAsia="Times New Roman" w:cs="Times New Roman"/>
          <w:bCs/>
        </w:rPr>
        <w:t xml:space="preserve">настоящего Положения, </w:t>
      </w:r>
      <w:r>
        <w:rPr>
          <w:rFonts w:ascii="Times New Roman" w:hAnsi="Times New Roman" w:eastAsia="Times New Roman" w:cs="Times New Roman"/>
          <w:bCs/>
        </w:rPr>
        <w:t>либо в случае отказа сотрудником</w:t>
      </w:r>
      <w:r>
        <w:rPr>
          <w:rFonts w:ascii="Times New Roman" w:hAnsi="Times New Roman" w:eastAsia="Times New Roman" w:cs="Times New Roman"/>
          <w:bCs/>
        </w:rPr>
        <w:t xml:space="preserve"> Филиала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eastAsia="Times New Roman" w:cs="Times New Roman"/>
          <w:bCs/>
        </w:rPr>
        <w:t xml:space="preserve">материально ответственным лицом </w:t>
      </w:r>
      <w:r>
        <w:rPr>
          <w:rFonts w:ascii="Times New Roman" w:hAnsi="Times New Roman" w:eastAsia="Times New Roman" w:cs="Times New Roman"/>
          <w:bCs/>
        </w:rPr>
        <w:t xml:space="preserve">в </w:t>
      </w:r>
      <w:r>
        <w:rPr>
          <w:rFonts w:ascii="Times New Roman" w:hAnsi="Times New Roman" w:eastAsia="Times New Roman" w:cs="Times New Roman"/>
          <w:bCs/>
        </w:rPr>
        <w:t>Ф</w:t>
      </w:r>
      <w:r>
        <w:rPr>
          <w:rFonts w:ascii="Times New Roman" w:hAnsi="Times New Roman" w:eastAsia="Times New Roman" w:cs="Times New Roman"/>
          <w:bCs/>
        </w:rPr>
        <w:t>едеральное казенное учреждение «</w:t>
      </w:r>
      <w:r>
        <w:rPr>
          <w:rFonts w:ascii="Times New Roman" w:hAnsi="Times New Roman" w:eastAsia="Times New Roman" w:cs="Times New Roman"/>
          <w:bCs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eastAsia="Times New Roman" w:cs="Times New Roman"/>
          <w:bCs/>
        </w:rPr>
        <w:t>е финансов Российской Федерации»</w:t>
      </w:r>
      <w:r>
        <w:rPr>
          <w:rFonts w:ascii="Times New Roman" w:hAnsi="Times New Roman" w:eastAsia="Times New Roman" w:cs="Times New Roman"/>
          <w:bCs/>
        </w:rPr>
        <w:t xml:space="preserve"> для зачисления в Государственный фонд драгоценных металлов и драгоценных камней Российской Федерации.</w:t>
      </w:r>
      <w:r>
        <w:rPr>
          <w:rFonts w:ascii="Times New Roman" w:hAnsi="Times New Roman" w:eastAsia="Times New Roman" w:cs="Times New Roman"/>
          <w:bCs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16.1. Информация о том, что подарок изготовлен из драгоценных металлов и (или) драгоценных камней, должна содержаться в сопроводительных документах,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16.2. Материально ответственное лицо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адресу: 121170, Москва, ул. 1812 года, д. 14, либо передает подарок непосредственно в Гохран России. На посылках указывается адрес получателя и отправителя.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16.3. 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письмом одновременно с посылкой. 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16.4. Передача подарка непосредственно в Гохран России осуществляется по акту приема-передачи, подписанному уполномоченными лицами Гохрана России и материально ответственным лицом Филиала.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16.5. В случае, если в отношении подарка при принятии его к бухгалтерскому учету проводилась экспертиза, копии документов о ее результатах, подтверждающих, что подарок изготовлен из драгоценных металлов и (или) драгоценных камней, также представляются в Гохран России.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16.6. В подтверждение получения ценностей Гохран России направляет заказным письмом с уведомлением в адрес Филиала подписанный акт приема посылок с ценностями либо выдает его уполномоченному представителю Филиала.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16.7. Гохран России после зачисления ценностей в Госфонд России в течение 10 дней направляет в Филиал, приемо-расчетный акт о зачислении указанного подарка в Госфонд России и его стоимости.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17. Подарок, в отношении которого не поступило заявление о выкупе, либо в отношении которого поступил отказ от выкупа, может использоваться Филиалом с учетом заключения Комиссии о целесообразности использования подарка для обеспечения деятельности Филиала.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18. Решение об использовании подарка для обеспечения деятельности Филиала принимается руководителем филиала с учетом мнения Комиссии.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19. В случае нецелесообразности использования подарка для обеспечения деятельности Филиала, руководителем филиала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20. Решение о реализации подарка, либо о его безвозмездной передаче на баланс благотворительной организации, в учреждение культуры (музей), либо об его уничтожении в соответствии с законодательством Российской Федерации принимается руководителем филиала на основании результатов заключения Комиссии о целесообразности (нецелесообразности) использования подарков для обеспечения деятельности Филиала с учетом положений об особенностях списания имущества, установленных Правительством Российской Федерации, и иными нормативными правовыми актами Российской Федерации.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21. Реализация подарка осуществляется посредством проведения торгов в порядке, предусмотренном законодательством Российской Федерации (Гражданским кодексом Российской Федерации, Федеральным законом от 21 декабря 2001 г. № 178-ФЗ «О приватизации государственного и муниципального имущества» и др.). 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22. В случае принятия решения о реализации подарка на торгах необходимо направить соответствующее письмо в государственный (муниципальный) орган, уполномоченный на реализацию государственного (муниципального) имущества, для организации взаимодействия и дальнейшей передачи подарка.</w:t>
      </w:r>
    </w:p>
    <w:p>
      <w:pPr>
        <w:ind w:firstLine="737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23. Оценка стоимости подарка для реализации (выкупа), предусмотренная пунктами 15 и 19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ind w:firstLine="737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Реализация (выкуп) подарков осуществляется по стоимости подарка, установленной субъектом оценочной деятельности. При этом расходы, произведенные за услуги по оценке подарков, являются расходами </w:t>
      </w:r>
      <w:r>
        <w:rPr>
          <w:bCs/>
          <w:sz w:val="28"/>
          <w:szCs w:val="28"/>
        </w:rPr>
        <w:t>Филиала</w:t>
      </w:r>
      <w:r>
        <w:rPr>
          <w:sz w:val="28"/>
          <w:szCs w:val="28"/>
        </w:rPr>
        <w:t xml:space="preserve">. </w:t>
      </w:r>
    </w:p>
    <w:p>
      <w:pPr>
        <w:ind w:firstLine="737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24. В случае если подарок не выкуплен или не реализован, руководителем </w:t>
      </w:r>
      <w:r>
        <w:rPr>
          <w:bCs/>
          <w:sz w:val="28"/>
          <w:szCs w:val="28"/>
        </w:rPr>
        <w:t>филиала</w:t>
      </w:r>
      <w:r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</w:p>
    <w:p>
      <w:pPr>
        <w:ind w:firstLine="737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25.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>
      <w:pPr>
        <w:ind w:left="5159"/>
        <w:widowControl/>
        <w:rPr>
          <w:rFonts w:eastAsia="Calibri"/>
          <w:sz w:val="24"/>
          <w:szCs w:val="24"/>
        </w:rPr>
      </w:pPr>
      <w:r>
        <w:br w:type="page"/>
      </w:r>
      <w:r>
        <w:rPr>
          <w:rFonts w:eastAsia="Calibri"/>
          <w:sz w:val="24"/>
          <w:szCs w:val="24"/>
        </w:rPr>
        <w:t>Приложение № 1</w:t>
      </w:r>
    </w:p>
    <w:p>
      <w:pPr>
        <w:ind w:left="515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Положению о порядке сообщения сотрудниками филиала ГРДНТ им. В.Д. Поленова</w:t>
      </w:r>
      <w:r>
        <w:rPr>
          <w:sz w:val="24"/>
          <w:szCs w:val="24"/>
        </w:rPr>
        <w:t xml:space="preserve"> «ФУКЦ РФ» </w:t>
      </w:r>
      <w:r>
        <w:rPr>
          <w:rFonts w:eastAsia="Calibri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 </w:t>
      </w:r>
      <w:r>
        <w:rPr>
          <w:rFonts w:eastAsia="Calibri"/>
          <w:sz w:val="24"/>
          <w:szCs w:val="24"/>
        </w:rPr>
      </w:r>
    </w:p>
    <w:p>
      <w:pPr>
        <w:spacing w:after="12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</w:r>
    </w:p>
    <w:p>
      <w:pPr>
        <w:spacing w:after="12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Уведомление о получении подарка</w:t>
      </w:r>
    </w:p>
    <w:p>
      <w:pPr>
        <w:ind w:left="4678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left="4678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(наименование уполномоченного</w:t>
      </w:r>
    </w:p>
    <w:p>
      <w:pPr>
        <w:ind w:left="4678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left="4649" w:hanging="57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структурного подразделения</w:t>
      </w:r>
    </w:p>
    <w:p>
      <w:pPr>
        <w:ind w:left="397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от  </w:t>
      </w:r>
    </w:p>
    <w:p>
      <w:pPr>
        <w:ind w:left="5046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</w:p>
    <w:p>
      <w:pPr>
        <w:ind w:left="4678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left="4678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left="4678"/>
        <w:spacing w:after="240"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(ф.и.о., занимаемая должность)</w:t>
      </w:r>
    </w:p>
    <w:tbl>
      <w:tblPr>
        <w:tblStyle w:val="NormalTable"/>
        <w:name w:val="Таблица2"/>
        <w:tabOrder w:val="0"/>
        <w:jc w:val="center"/>
        <w:tblInd w:w="0" w:type="dxa"/>
        <w:tblW w:w="7495" w:type="dxa"/>
        <w:pPr>
          <w:spacing/>
          <w:jc w:val="center"/>
        </w:pPr>
        <w:tblLook w:val="0000" w:firstRow="0" w:lastRow="0" w:firstColumn="0" w:lastColumn="0" w:noHBand="0" w:noVBand="0"/>
      </w:tblPr>
      <w:tblGrid>
        <w:gridCol w:w="3969"/>
        <w:gridCol w:w="180"/>
        <w:gridCol w:w="397"/>
        <w:gridCol w:w="255"/>
        <w:gridCol w:w="1531"/>
        <w:gridCol w:w="397"/>
        <w:gridCol w:w="369"/>
        <w:gridCol w:w="397"/>
      </w:tblGrid>
      <w:tr>
        <w:trPr>
          <w:tblHeader w:val="0"/>
          <w:cantSplit w:val="0"/>
          <w:trHeight w:val="0" w:hRule="auto"/>
        </w:trPr>
        <w:tc>
          <w:tcPr>
            <w:tcW w:w="39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53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>
      <w:pPr>
        <w:ind w:firstLine="567"/>
        <w:spacing w:before="24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Извещаю о получении  </w:t>
      </w:r>
    </w:p>
    <w:p>
      <w:pPr>
        <w:ind w:left="3005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(дата получения)</w:t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подарка(ов) на  </w:t>
      </w:r>
    </w:p>
    <w:p>
      <w:pPr>
        <w:ind w:left="1639"/>
        <w:spacing w:after="240"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(наименование протокольного мероприятия, служебной командировки,</w:t>
        <w:br w:type="textWrapping"/>
        <w:t>другого официального мероприятия, место и дата проведения)</w:t>
      </w:r>
    </w:p>
    <w:tbl>
      <w:tblPr>
        <w:tblStyle w:val="NormalTable"/>
        <w:name w:val="Таблица3"/>
        <w:tabOrder w:val="0"/>
        <w:jc w:val="left"/>
        <w:tblInd w:w="0" w:type="dxa"/>
        <w:tblW w:w="9695" w:type="dxa"/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>
        <w:trPr>
          <w:tblHeader w:val="0"/>
          <w:cantSplit w:val="0"/>
          <w:trHeight w:val="0" w:hRule="auto"/>
        </w:trPr>
        <w:tc>
          <w:tcPr>
            <w:tcW w:w="2722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</w:t>
            </w:r>
            <w:r>
              <w:rPr>
                <w:rFonts w:eastAsia="Calibri"/>
                <w:sz w:val="24"/>
                <w:szCs w:val="24"/>
                <w:lang w:val="en-us"/>
              </w:rPr>
              <w:br w:type="textWrapping"/>
            </w:r>
            <w:r>
              <w:rPr>
                <w:rFonts w:eastAsia="Calibri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Характеристика подарка, </w:t>
            </w:r>
            <w:r>
              <w:rPr>
                <w:rFonts w:eastAsia="Calibri"/>
                <w:sz w:val="24"/>
                <w:szCs w:val="24"/>
                <w:lang w:val="en-us"/>
              </w:rPr>
              <w:br w:type="textWrapping"/>
            </w:r>
            <w:r>
              <w:rPr>
                <w:rFonts w:eastAsia="Calibri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Стоимость в рублях *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2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22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22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22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9809" w:type="dxa"/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>
        <w:trPr>
          <w:tblHeader w:val="0"/>
          <w:cantSplit w:val="0"/>
          <w:trHeight w:val="0" w:hRule="auto"/>
        </w:trPr>
        <w:tc>
          <w:tcPr>
            <w:tcW w:w="147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56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9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листах.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(наименование документа)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Style w:val="NormalTable"/>
        <w:name w:val="Таблица5"/>
        <w:tabOrder w:val="0"/>
        <w:jc w:val="left"/>
        <w:tblInd w:w="0" w:type="dxa"/>
        <w:tblW w:w="9847" w:type="dxa"/>
        <w:tblLook w:val="0000" w:firstRow="0" w:lastRow="0" w:firstColumn="0" w:lastColumn="0" w:noHBand="0" w:noVBand="0"/>
      </w:tblPr>
      <w:tblGrid>
        <w:gridCol w:w="2325"/>
        <w:gridCol w:w="1418"/>
        <w:gridCol w:w="180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rPr>
          <w:tblHeader w:val="0"/>
          <w:cantSplit w:val="0"/>
          <w:trHeight w:val="0" w:hRule="auto"/>
        </w:trPr>
        <w:tc>
          <w:tcPr>
            <w:tcW w:w="232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36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2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6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2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18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96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widowControl/>
        <w:rPr>
          <w:rFonts w:eastAsia="Calibri"/>
          <w:sz w:val="12"/>
          <w:szCs w:val="12"/>
          <w:lang w:val="en-us"/>
        </w:rPr>
      </w:pPr>
      <w:r>
        <w:rPr>
          <w:rFonts w:eastAsia="Calibri"/>
          <w:sz w:val="12"/>
          <w:szCs w:val="12"/>
          <w:lang w:val="en-us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9847" w:type="dxa"/>
        <w:tblLook w:val="0000" w:firstRow="0" w:lastRow="0" w:firstColumn="0" w:lastColumn="0" w:noHBand="0" w:noVBand="0"/>
      </w:tblPr>
      <w:tblGrid>
        <w:gridCol w:w="2325"/>
        <w:gridCol w:w="1418"/>
        <w:gridCol w:w="180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rPr>
          <w:tblHeader w:val="0"/>
          <w:cantSplit w:val="0"/>
          <w:trHeight w:val="0" w:hRule="auto"/>
        </w:trPr>
        <w:tc>
          <w:tcPr>
            <w:tcW w:w="232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36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2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6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2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18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96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spacing w:before="24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Регистрационный номер в журнале регистрации уведомлений  </w:t>
      </w:r>
    </w:p>
    <w:p>
      <w:pPr>
        <w:ind w:left="6521"/>
        <w:spacing w:after="120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3526" w:type="dxa"/>
        <w:tblLook w:val="0000" w:firstRow="0" w:lastRow="0" w:firstColumn="0" w:lastColumn="0" w:noHBand="0" w:noVBand="0"/>
      </w:tblPr>
      <w:tblGrid>
        <w:gridCol w:w="180"/>
        <w:gridCol w:w="397"/>
        <w:gridCol w:w="255"/>
        <w:gridCol w:w="1531"/>
        <w:gridCol w:w="397"/>
        <w:gridCol w:w="369"/>
        <w:gridCol w:w="397"/>
      </w:tblGrid>
      <w:tr>
        <w:trPr>
          <w:tblHeader w:val="0"/>
          <w:cantSplit w:val="0"/>
          <w:trHeight w:val="0" w:hRule="auto"/>
        </w:trPr>
        <w:tc>
          <w:tcPr>
            <w:tcW w:w="1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53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Заполняется при наличии документов, подтверждающих стоимость подарка.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9"/>
          <w:footerReference w:type="first" r:id="rId10"/>
          <w:type w:val="nextPage"/>
          <w:pgSz w:h="16838" w:w="11906"/>
          <w:pgMar w:left="1701" w:top="993" w:right="851" w:bottom="1134" w:header="0" w:footer="567"/>
          <w:paperSrc w:first="4" w:other="4" a="0" b="0"/>
          <w:pgNumType w:fmt="decimal" w:start="1"/>
          <w:titlePg/>
          <w:tmGutter w:val="3"/>
          <w:mirrorMargins w:val="0"/>
          <w:tmSection w:h="-1">
            <w:tmFooter w:id="0" w:h="0" edge="567" text="0">
              <w:shd w:val="none"/>
            </w:tmFooter>
            <w:tmFooter w:id="2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723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2</w:t>
      </w:r>
    </w:p>
    <w:p>
      <w:pPr>
        <w:ind w:left="723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Положению о порядке сообщения сотрудниками филиала ГРДНТ им. В.Д. Поленова «ФУКЦ РФ»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 </w:t>
      </w:r>
    </w:p>
    <w:p>
      <w:pPr>
        <w:ind w:left="723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Журнал</w:t>
        <w:br w:type="textWrapping"/>
        <w:t>регистрации уведомлений о получении подарка</w:t>
      </w:r>
    </w:p>
    <w:tbl>
      <w:tblPr>
        <w:tblStyle w:val="NormalTable"/>
        <w:name w:val="Таблица8"/>
        <w:tabOrder w:val="0"/>
        <w:jc w:val="left"/>
        <w:tblInd w:w="0" w:type="dxa"/>
        <w:tblW w:w="15196" w:type="dxa"/>
        <w:tblLook w:val="0000" w:firstRow="0" w:lastRow="0" w:firstColumn="0" w:lastColumn="0" w:noHBand="0" w:noVBand="0"/>
      </w:tblPr>
      <w:tblGrid>
        <w:gridCol w:w="567"/>
        <w:gridCol w:w="1077"/>
        <w:gridCol w:w="1701"/>
        <w:gridCol w:w="1701"/>
        <w:gridCol w:w="1418"/>
        <w:gridCol w:w="1701"/>
        <w:gridCol w:w="1701"/>
        <w:gridCol w:w="1701"/>
        <w:gridCol w:w="1701"/>
        <w:gridCol w:w="1928"/>
      </w:tblGrid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№</w:t>
              <w:br w:type="textWrapping"/>
              <w:t>п/п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Дата регист</w:t>
              <w:softHyphen/>
              <w:t>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Ф.И.О., должность лица, предста</w:t>
              <w:softHyphen/>
              <w:t>вившего уведом</w:t>
              <w:softHyphen/>
              <w:t>ление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Наименование подарка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Стоимость подарка 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Подпись лица, представившего уведомление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Ф.И.О., должность лица, принявшего уведомление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Подпись лица, принявшего уведомление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Отметка о передаче уведомления в Комиссию **</w:t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Отметка о передаче копии уведомления материально ответ</w:t>
              <w:softHyphen/>
              <w:t>ственному лицу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para1"/>
        <w:spacing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para1"/>
        <w:spacing/>
        <w:jc w:val="both"/>
      </w:pPr>
      <w:r/>
    </w:p>
    <w:p>
      <w:r>
        <w:t>_______________________________</w:t>
      </w:r>
    </w:p>
    <w:p>
      <w:pPr>
        <w:pStyle w:val="para2"/>
        <w:ind w:firstLine="567"/>
        <w:spacing/>
        <w:jc w:val="both"/>
      </w:pPr>
      <w:r>
        <w:rPr>
          <w:rStyle w:val="char3"/>
        </w:rPr>
        <w:t>*</w:t>
      </w:r>
      <w:r>
        <w:t> Заполняется при наличии документов, подтверждающих стоимость подарка.</w:t>
      </w:r>
    </w:p>
    <w:p>
      <w:pPr>
        <w:pStyle w:val="para2"/>
        <w:ind w:firstLine="567"/>
        <w:spacing/>
        <w:jc w:val="both"/>
      </w:pPr>
      <w:r>
        <w:rPr>
          <w:rStyle w:val="char3"/>
        </w:rPr>
        <w:t>**</w:t>
      </w:r>
      <w:r>
        <w:t xml:space="preserve"> Комиссия </w:t>
      </w:r>
      <w:r>
        <w:rPr>
          <w:color w:val="000000"/>
          <w:kern w:val="1"/>
          <w:lang w:eastAsia="zh-cn"/>
        </w:rPr>
        <w:t>по противодействию коррупции и урегулированию конфликта интересов</w:t>
      </w:r>
      <w:r>
        <w:rPr>
          <w:rFonts w:eastAsia="Times New Roman"/>
          <w:bCs/>
        </w:rPr>
        <w:t xml:space="preserve"> </w:t>
      </w:r>
      <w:r>
        <w:t>филиала ГРДНТ им. В.Д. Поленова «ФУКЦ РФ».</w:t>
      </w:r>
    </w:p>
    <w:p>
      <w:pPr>
        <w:pStyle w:val="para2"/>
        <w:ind w:firstLine="567"/>
        <w:spacing/>
        <w:jc w:val="both"/>
      </w:pPr>
      <w:r/>
    </w:p>
    <w:p>
      <w:r/>
    </w:p>
    <w:p>
      <w:r/>
    </w:p>
    <w:p>
      <w:r/>
    </w:p>
    <w:p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1"/>
          <w:type w:val="nextPage"/>
          <w:pgSz w:h="11906" w:w="16838" w:orient="landscape"/>
          <w:pgMar w:left="1134" w:top="851" w:right="1134" w:bottom="1701" w:header="0" w:footer="0"/>
          <w:paperSrc w:first="4" w:other="4" a="0" b="0"/>
          <w:pgNumType w:fmt="decimal" w:start="1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552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3</w:t>
      </w:r>
    </w:p>
    <w:p>
      <w:pPr>
        <w:ind w:left="552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Положению о порядке сообщения сотрудниками филиала ГРДНТ им. В.Д. Поленова «ФУКЦ РФ»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 </w:t>
      </w:r>
    </w:p>
    <w:p>
      <w:pPr>
        <w:spacing w:after="240"/>
        <w:jc w:val="center"/>
        <w:widowControl/>
        <w:rPr>
          <w:rFonts w:eastAsia="Calibri"/>
        </w:rPr>
      </w:pPr>
      <w:r>
        <w:rPr>
          <w:rFonts w:eastAsia="Calibri"/>
        </w:rPr>
      </w:r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Акт</w:t>
        <w:br w:type="textWrapping"/>
        <w:t>приема-передачи</w:t>
      </w:r>
    </w:p>
    <w:tbl>
      <w:tblPr>
        <w:tblStyle w:val="NormalTable"/>
        <w:name w:val="Таблица9"/>
        <w:tabOrder w:val="0"/>
        <w:jc w:val="left"/>
        <w:tblInd w:w="0" w:type="dxa"/>
        <w:tblW w:w="9696" w:type="dxa"/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  <w:gridCol w:w="4848"/>
        <w:gridCol w:w="1134"/>
      </w:tblGrid>
      <w:tr>
        <w:trPr>
          <w:tblHeader w:val="0"/>
          <w:cantSplit/>
          <w:trHeight w:val="0" w:hRule="auto"/>
        </w:trPr>
        <w:tc>
          <w:tcPr>
            <w:tcW w:w="19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53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848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right="57"/>
              <w:spacing/>
              <w:jc w:val="right"/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pacing w:before="24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(Ф.И.О., должность с наименованием структурного подразделения)</w:t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</w:p>
    <w:p>
      <w:pPr>
        <w:spacing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Гражданским кодексом Российской Федерации от 26.01.1996 N 14-ФЗ, Федеральным законом от 25 декабря 2008 N 273-ФЗ «О противодействии коррупции», Постановлением Правительства РФ от 09.01.2014 N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передает, а материально ответственное лицо филиала ГРДНТ им. В.Д. Поленова «ФУКЦ РФ»</w:t>
      </w:r>
    </w:p>
    <w:p>
      <w:pPr>
        <w:spacing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spacing w:after="240"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(Ф.И.О., наименование должности)</w:t>
      </w:r>
    </w:p>
    <w:p>
      <w:pPr>
        <w:spacing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принимает подарок(и), полученный(е) в связи</w:t>
        <w:br w:type="textWrapping"/>
        <w:t xml:space="preserve">с:  </w:t>
      </w:r>
    </w:p>
    <w:p>
      <w:pPr>
        <w:ind w:left="280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(указывается мероприятие и дата)</w:t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Наименование подарка(ов)  </w:t>
      </w:r>
    </w:p>
    <w:p>
      <w:pPr>
        <w:ind w:left="2863"/>
        <w:spacing w:after="240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9839" w:type="dxa"/>
        <w:tblLook w:val="0000" w:firstRow="0" w:lastRow="0" w:firstColumn="0" w:lastColumn="0" w:noHBand="0" w:noVBand="0"/>
      </w:tblPr>
      <w:tblGrid>
        <w:gridCol w:w="1503"/>
        <w:gridCol w:w="6350"/>
        <w:gridCol w:w="454"/>
        <w:gridCol w:w="567"/>
        <w:gridCol w:w="965"/>
      </w:tblGrid>
      <w:tr>
        <w:trPr>
          <w:tblHeader w:val="0"/>
          <w:cantSplit w:val="0"/>
          <w:trHeight w:val="0" w:hRule="auto"/>
        </w:trPr>
        <w:tc>
          <w:tcPr>
            <w:tcW w:w="1503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Приложение:</w:t>
            </w:r>
          </w:p>
        </w:tc>
        <w:tc>
          <w:tcPr>
            <w:tcW w:w="635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6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листах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3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35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(наименование документов)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6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Style w:val="NormalTable"/>
        <w:name w:val="Таблица11"/>
        <w:tabOrder w:val="0"/>
        <w:jc w:val="left"/>
        <w:tblInd w:w="567" w:type="dxa"/>
        <w:tblW w:w="9129" w:type="dxa"/>
        <w:pPr>
          <w:ind w:left="567"/>
        </w:pPr>
        <w:tblLook w:val="0000" w:firstRow="0" w:lastRow="0" w:firstColumn="0" w:lastColumn="0" w:noHBand="0" w:noVBand="0"/>
      </w:tblPr>
      <w:tblGrid>
        <w:gridCol w:w="3402"/>
        <w:gridCol w:w="2325"/>
        <w:gridCol w:w="3402"/>
      </w:tblGrid>
      <w:tr>
        <w:trPr>
          <w:tblHeader w:val="0"/>
          <w:cantSplit w:val="0"/>
          <w:trHeight w:val="0" w:hRule="auto"/>
        </w:trPr>
        <w:tc>
          <w:tcPr>
            <w:tcW w:w="340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Сдал</w:t>
            </w:r>
          </w:p>
        </w:tc>
        <w:tc>
          <w:tcPr>
            <w:tcW w:w="232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0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32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0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(Ф.И.О., подпись)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(Ф.И.О., подпись)</w:t>
            </w:r>
          </w:p>
        </w:tc>
      </w:tr>
    </w:tbl>
    <w:p>
      <w:r/>
    </w:p>
    <w:p>
      <w:r/>
    </w:p>
    <w:p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2"/>
          <w:type w:val="nextPage"/>
          <w:pgSz w:h="16838" w:w="11906"/>
          <w:pgMar w:left="1701" w:top="851" w:right="851" w:bottom="1134" w:header="0" w:footer="0"/>
          <w:paperSrc w:first="4" w:other="4" a="0" b="0"/>
          <w:pgNumType w:fmt="decimal" w:start="1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Grid"/>
        <w:name w:val="Таблица12"/>
        <w:tabOrder w:val="0"/>
        <w:jc w:val="left"/>
        <w:tblInd w:w="7054" w:type="dxa"/>
        <w:tblW w:w="8222" w:type="dxa"/>
        <w:pPr>
          <w:ind w:left="7054"/>
        </w:pPr>
        <w:tblLook w:val="04A0" w:firstRow="1" w:lastRow="0" w:firstColumn="1" w:lastColumn="0" w:noHBand="0" w:noVBand="1"/>
      </w:tblPr>
      <w:tblGrid>
        <w:gridCol w:w="8222"/>
      </w:tblGrid>
      <w:tr>
        <w:trPr>
          <w:tblHeader w:val="0"/>
          <w:cantSplit w:val="0"/>
          <w:trHeight w:val="0" w:hRule="auto"/>
        </w:trPr>
        <w:tc>
          <w:tcPr>
            <w:tcW w:w="822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4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2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 Положению о порядке сообщения сотрудниками филиала ГРДНТ им. В.Д. Поленова «ФУКЦ РФ»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 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rPr>
          <w:b/>
        </w:rPr>
      </w:pPr>
      <w:r>
        <w:rPr>
          <w:b/>
        </w:rPr>
      </w:r>
    </w:p>
    <w:p>
      <w:r/>
    </w:p>
    <w:p>
      <w:r/>
    </w:p>
    <w:p>
      <w:r/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Журнал</w:t>
        <w:br w:type="textWrapping"/>
        <w:t>учета актов приема-передачи</w:t>
      </w:r>
    </w:p>
    <w:tbl>
      <w:tblPr>
        <w:tblStyle w:val="NormalTable"/>
        <w:name w:val="Таблица13"/>
        <w:tabOrder w:val="0"/>
        <w:jc w:val="left"/>
        <w:tblInd w:w="0" w:type="dxa"/>
        <w:tblW w:w="15194" w:type="dxa"/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2098"/>
        <w:gridCol w:w="2268"/>
        <w:gridCol w:w="1814"/>
        <w:gridCol w:w="2268"/>
        <w:gridCol w:w="1814"/>
        <w:gridCol w:w="1983"/>
      </w:tblGrid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  <w:br w:type="textWrapping"/>
              <w:t>п/п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  <w:br w:type="textWrapping"/>
              <w:t>акта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составления акта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</w:t>
              <w:softHyphen/>
              <w:t>вание подарка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Отметка о возврате подарка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3"/>
          <w:type w:val="nextPage"/>
          <w:pgSz w:h="11906" w:w="16838" w:orient="landscape"/>
          <w:pgMar w:left="1134" w:top="851" w:right="1134" w:bottom="1701" w:header="0" w:footer="0"/>
          <w:paperSrc w:first="4" w:other="4" a="0" b="0"/>
          <w:pgNumType w:fmt="decimal" w:start="1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r/>
    </w:p>
    <w:p>
      <w:pPr>
        <w:ind w:left="552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5</w:t>
      </w:r>
    </w:p>
    <w:p>
      <w:pPr>
        <w:ind w:left="552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Положению о порядке сообщения сотрудниками филиала ГРДНТ им. В.Д. Поленова «ФУКЦ РФ»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 </w:t>
      </w:r>
    </w:p>
    <w:p>
      <w:r/>
    </w:p>
    <w:p>
      <w:r/>
    </w:p>
    <w:p>
      <w:r/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Акт</w:t>
        <w:br w:type="textWrapping"/>
        <w:t>возврата</w:t>
      </w:r>
    </w:p>
    <w:tbl>
      <w:tblPr>
        <w:tblStyle w:val="NormalTable"/>
        <w:name w:val="Таблица14"/>
        <w:tabOrder w:val="0"/>
        <w:jc w:val="left"/>
        <w:tblInd w:w="567" w:type="dxa"/>
        <w:tblW w:w="3714" w:type="dxa"/>
        <w:pPr>
          <w:ind w:left="567"/>
        </w:pP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</w:tblGrid>
      <w:tr>
        <w:trPr>
          <w:tblHeader w:val="0"/>
          <w:cantSplit/>
          <w:trHeight w:val="0" w:hRule="auto"/>
        </w:trPr>
        <w:tc>
          <w:tcPr>
            <w:tcW w:w="19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53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567"/>
        <w:spacing w:before="240"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Материально ответственное лицо филиала ГРДНТ им. В.Д. Поленова «ФУКЦ РФ» </w:t>
      </w:r>
    </w:p>
    <w:p>
      <w:pPr>
        <w:ind w:firstLine="567"/>
        <w:spacing w:before="240"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spacing w:after="240"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(Ф.И.О., наименование должности)</w:t>
      </w:r>
    </w:p>
    <w:p>
      <w:pPr>
        <w:ind w:firstLine="567"/>
        <w:spacing w:before="240"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основании решения</w:t>
      </w:r>
      <w:r>
        <w:rPr>
          <w:rFonts w:eastAsia="Calibri"/>
          <w:color w:val="000000"/>
          <w:sz w:val="24"/>
          <w:szCs w:val="24"/>
        </w:rPr>
        <w:t xml:space="preserve"> комиссии по противодействию коррупции и урегулированию конфликта интересов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4"/>
          <w:szCs w:val="24"/>
        </w:rPr>
        <w:t>филиала ГРДНТ им. В.Д. Поленова «ФУКЦ РФ»  от «____» _______________ 20 ___ г. возвращает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(Ф.И.О., должность с наименованием структурного подразделения)</w:t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spacing w:after="240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</w:p>
    <w:p>
      <w:pPr>
        <w:spacing w:after="240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подарок(и), переданный(ые) по акту приема-передачи от</w:t>
      </w:r>
    </w:p>
    <w:tbl>
      <w:tblPr>
        <w:tblStyle w:val="NormalTable"/>
        <w:name w:val="Таблица15"/>
        <w:tabOrder w:val="0"/>
        <w:jc w:val="left"/>
        <w:tblInd w:w="0" w:type="dxa"/>
        <w:tblW w:w="5245" w:type="dxa"/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"/>
        <w:gridCol w:w="1134"/>
        <w:gridCol w:w="284"/>
      </w:tblGrid>
      <w:tr>
        <w:trPr>
          <w:tblHeader w:val="0"/>
          <w:cantSplit w:val="0"/>
          <w:trHeight w:val="0" w:hRule="auto"/>
        </w:trPr>
        <w:tc>
          <w:tcPr>
            <w:tcW w:w="19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531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№</w:t>
            </w:r>
          </w:p>
        </w:tc>
        <w:tc>
          <w:tcPr>
            <w:tcW w:w="113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>
      <w:pPr>
        <w:spacing w:after="480"/>
        <w:widowControl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</w:p>
    <w:tbl>
      <w:tblPr>
        <w:tblStyle w:val="NormalTable"/>
        <w:name w:val="Таблица16"/>
        <w:tabOrder w:val="0"/>
        <w:jc w:val="left"/>
        <w:tblInd w:w="567" w:type="dxa"/>
        <w:tblW w:w="9129" w:type="dxa"/>
        <w:pPr>
          <w:ind w:left="567"/>
        </w:pPr>
        <w:tblLook w:val="0000" w:firstRow="0" w:lastRow="0" w:firstColumn="0" w:lastColumn="0" w:noHBand="0" w:noVBand="0"/>
      </w:tblPr>
      <w:tblGrid>
        <w:gridCol w:w="3402"/>
        <w:gridCol w:w="2325"/>
        <w:gridCol w:w="3402"/>
      </w:tblGrid>
      <w:tr>
        <w:trPr>
          <w:tblHeader w:val="0"/>
          <w:cantSplit w:val="0"/>
          <w:trHeight w:val="0" w:hRule="auto"/>
        </w:trPr>
        <w:tc>
          <w:tcPr>
            <w:tcW w:w="340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 w:after="120"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Сдал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 w:after="120"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0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32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0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(Ф.И.О., подпись)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(Ф.И.О., подпись)</w:t>
            </w:r>
          </w:p>
        </w:tc>
      </w:tr>
    </w:tbl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4"/>
          <w:type w:val="nextPage"/>
          <w:pgSz w:h="16838" w:w="11906"/>
          <w:pgMar w:left="1701" w:top="709" w:right="851" w:bottom="1134" w:header="0" w:footer="0"/>
          <w:paperSrc w:first="4" w:other="4" a="0" b="0"/>
          <w:pgNumType w:fmt="decimal" w:start="1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552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6</w:t>
      </w:r>
    </w:p>
    <w:p>
      <w:pPr>
        <w:ind w:left="5529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Положению о порядке сообщения сотрудниками филиала ГРДНТ им. В.Д. Поленова «ФУКЦ РФ»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 </w:t>
      </w:r>
    </w:p>
    <w:p>
      <w:r/>
    </w:p>
    <w:p>
      <w:r/>
    </w:p>
    <w:p>
      <w:r/>
    </w:p>
    <w:p>
      <w:r/>
    </w:p>
    <w:p>
      <w:pPr>
        <w:ind w:left="2835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left="2835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 представителя нанимателя с указанием должности)</w:t>
      </w:r>
    </w:p>
    <w:p>
      <w:pPr>
        <w:ind w:left="2835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 </w:t>
      </w:r>
    </w:p>
    <w:p>
      <w:pPr>
        <w:ind w:left="2835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(Ф.И.О. сотрудника филиала ГРДНТ им. В.Д. Поленова «ФУКЦ РФ»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</w:rPr>
        <w:t>, сдавшего подарок(и), с указанием</w:t>
      </w:r>
    </w:p>
    <w:p>
      <w:pPr>
        <w:ind w:left="2835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left="2835"/>
        <w:spacing w:after="240"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должности, структурного подразделения, телефона)</w:t>
      </w:r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</w:r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Заявление о выкупе подарка</w:t>
      </w:r>
    </w:p>
    <w:p>
      <w:pPr>
        <w:ind w:firstLine="567"/>
        <w:spacing/>
        <w:jc w:val="both"/>
        <w:widowControl/>
        <w:rPr>
          <w:rFonts w:eastAsia="Calibri"/>
          <w:sz w:val="2"/>
          <w:szCs w:val="2"/>
        </w:rPr>
      </w:pPr>
      <w:r>
        <w:rPr>
          <w:rFonts w:eastAsia="Calibri"/>
          <w:sz w:val="24"/>
          <w:szCs w:val="24"/>
        </w:rPr>
        <w:t>Извещаю о намерении выкупить подарок (подарки), полученный</w:t>
        <w:br w:type="textWrapping"/>
        <w:t>(полученные) в связи с протокольным мероприятием, служебной</w:t>
        <w:br w:type="textWrapping"/>
        <w:t>командировкой, другим официальным мероприятием (нужное подчеркнуть)</w:t>
        <w:br w:type="textWrapping"/>
      </w:r>
      <w:r>
        <w:rPr>
          <w:rFonts w:eastAsia="Calibri"/>
          <w:sz w:val="2"/>
          <w:szCs w:val="2"/>
        </w:rPr>
      </w:r>
    </w:p>
    <w:p>
      <w:pPr>
        <w:spacing/>
        <w:jc w:val="both"/>
        <w:widowControl/>
        <w:tabs defTabSz="708">
          <w:tab w:val="right" w:pos="9637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,</w:t>
      </w:r>
    </w:p>
    <w:p>
      <w:pPr>
        <w:ind w:right="113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(указать место и дату проведения)</w:t>
      </w:r>
    </w:p>
    <w:p>
      <w:pPr>
        <w:ind w:firstLine="567"/>
        <w:spacing w:before="240"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 сданный на хранение в установленном порядке в филиал ГРДНТ им. В.Д. Поленова «ФУКЦ РФ» </w:t>
      </w:r>
    </w:p>
    <w:p>
      <w:pPr>
        <w:spacing/>
        <w:jc w:val="both"/>
        <w:widowControl/>
        <w:tabs defTabSz="708">
          <w:tab w:val="right" w:pos="9637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,</w:t>
      </w:r>
    </w:p>
    <w:p>
      <w:pPr>
        <w:ind w:right="113"/>
        <w:spacing/>
        <w:jc w:val="center"/>
        <w:widowControl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  <w:t>(дата и регистрационный номер уведомления,</w:t>
        <w:br w:type="textWrapping"/>
        <w:t>дата и регистрационный номер акта приема-передачи на хранение)</w:t>
      </w:r>
    </w:p>
    <w:p>
      <w:pPr>
        <w:spacing w:after="120"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NormalTable"/>
        <w:name w:val="Таблица17"/>
        <w:tabOrder w:val="0"/>
        <w:jc w:val="left"/>
        <w:tblInd w:w="0" w:type="dxa"/>
        <w:tblW w:w="9696" w:type="dxa"/>
        <w:tblLook w:val="0000" w:firstRow="0" w:lastRow="0" w:firstColumn="0" w:lastColumn="0" w:noHBand="0" w:noVBand="0"/>
      </w:tblPr>
      <w:tblGrid>
        <w:gridCol w:w="567"/>
        <w:gridCol w:w="5954"/>
        <w:gridCol w:w="3175"/>
      </w:tblGrid>
      <w:tr>
        <w:trPr>
          <w:tblHeader w:val="0"/>
          <w:cantSplit w:val="0"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предметов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7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7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7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6521" w:type="dxa"/>
            <w:gridSpan w:val="2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ind w:left="57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17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pacing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Style w:val="NormalTable"/>
        <w:name w:val="Таблица18"/>
        <w:tabOrder w:val="0"/>
        <w:jc w:val="left"/>
        <w:tblInd w:w="0" w:type="dxa"/>
        <w:tblW w:w="9829" w:type="dxa"/>
        <w:tblLook w:val="0000" w:firstRow="0" w:lastRow="0" w:firstColumn="0" w:lastColumn="0" w:noHBand="0" w:noVBand="0"/>
      </w:tblPr>
      <w:tblGrid>
        <w:gridCol w:w="2552"/>
        <w:gridCol w:w="180"/>
        <w:gridCol w:w="1134"/>
        <w:gridCol w:w="180"/>
        <w:gridCol w:w="2438"/>
        <w:gridCol w:w="340"/>
        <w:gridCol w:w="397"/>
        <w:gridCol w:w="255"/>
        <w:gridCol w:w="1247"/>
        <w:gridCol w:w="397"/>
        <w:gridCol w:w="369"/>
        <w:gridCol w:w="340"/>
      </w:tblGrid>
      <w:tr>
        <w:trPr>
          <w:tblHeader w:val="0"/>
          <w:cantSplit w:val="0"/>
          <w:trHeight w:val="0" w:hRule="auto"/>
        </w:trPr>
        <w:tc>
          <w:tcPr>
            <w:tcW w:w="2552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38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24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" w:type="dxa"/>
            <w:vAlign w:val="bottom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52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(наименование должности)</w:t>
            </w:r>
          </w:p>
        </w:tc>
        <w:tc>
          <w:tcPr>
            <w:tcW w:w="18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18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38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spacing/>
              <w:jc w:val="right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spacing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r/>
    </w:p>
    <w:p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5"/>
          <w:type w:val="nextPage"/>
          <w:pgSz w:h="16838" w:w="11906"/>
          <w:pgMar w:left="1701" w:top="709" w:right="851" w:bottom="1134" w:header="0" w:footer="0"/>
          <w:paperSrc w:first="4" w:other="4" a="0" b="0"/>
          <w:pgNumType w:fmt="decimal" w:start="1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r/>
    </w:p>
    <w:tbl>
      <w:tblPr>
        <w:tblStyle w:val="TableGrid"/>
        <w:name w:val="Таблица19"/>
        <w:tabOrder w:val="0"/>
        <w:jc w:val="left"/>
        <w:tblInd w:w="7054" w:type="dxa"/>
        <w:tblW w:w="8222" w:type="dxa"/>
        <w:pPr>
          <w:ind w:left="7054"/>
        </w:pPr>
        <w:tblLook w:val="04A0" w:firstRow="1" w:lastRow="0" w:firstColumn="1" w:lastColumn="0" w:noHBand="0" w:noVBand="1"/>
      </w:tblPr>
      <w:tblGrid>
        <w:gridCol w:w="8222"/>
      </w:tblGrid>
      <w:tr>
        <w:trPr>
          <w:tblHeader w:val="0"/>
          <w:cantSplit w:val="0"/>
          <w:trHeight w:val="0" w:hRule="auto"/>
        </w:trPr>
        <w:tc>
          <w:tcPr>
            <w:tcW w:w="822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2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436202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</w:t>
            </w:r>
            <w:r>
              <w:rPr>
                <w:bCs/>
                <w:sz w:val="24"/>
                <w:szCs w:val="24"/>
              </w:rPr>
              <w:t>о порядке сообщения сотрудниками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филиала ГРДНТ им. В.Д. Поленова «ФУКЦ РФ»  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(выкупе) и зачислении средств, вырученных от его реализации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r/>
    </w:p>
    <w:p>
      <w:r/>
    </w:p>
    <w:p>
      <w:r/>
    </w:p>
    <w:p>
      <w:r/>
    </w:p>
    <w:p>
      <w:r/>
    </w:p>
    <w:p>
      <w:r/>
    </w:p>
    <w:p>
      <w:pPr>
        <w:spacing w:after="240"/>
        <w:jc w:val="center"/>
        <w:widowControl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Журнал</w:t>
        <w:br w:type="textWrapping"/>
        <w:t>регистрации заявлений о выкупе подарка</w:t>
      </w:r>
    </w:p>
    <w:tbl>
      <w:tblPr>
        <w:tblStyle w:val="NormalTable"/>
        <w:name w:val="Таблица20"/>
        <w:tabOrder w:val="0"/>
        <w:jc w:val="left"/>
        <w:tblInd w:w="0" w:type="dxa"/>
        <w:tblW w:w="15196" w:type="dxa"/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1985"/>
        <w:gridCol w:w="1984"/>
        <w:gridCol w:w="1616"/>
        <w:gridCol w:w="1984"/>
        <w:gridCol w:w="1616"/>
        <w:gridCol w:w="1531"/>
        <w:gridCol w:w="1531"/>
      </w:tblGrid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  <w:br w:type="textWrapping"/>
              <w:t>п/п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  <w:br w:type="textWrapping"/>
              <w:t>заявле</w:t>
              <w:softHyphen/>
              <w:t>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регист</w:t>
              <w:softHyphen/>
              <w:t>рации заявления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подарка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Отметка о выкупе подарка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12" w:space="0" w:color="000000" tmln="3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Отметка об отказе от выкупа подарка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12" w:space="0" w:color="000000" tmln="3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567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720436202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16"/>
      <w:type w:val="nextPage"/>
      <w:pgSz w:h="11906" w:w="16838" w:orient="landscape"/>
      <w:pgMar w:left="1134" w:top="851" w:right="1134" w:bottom="1701" w:header="0" w:footer="0"/>
      <w:paperSrc w:first="4" w:other="4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  <w:numPr>
        <w:ilvl w:val="0"/>
        <w:numId w:val="0"/>
      </w:numPr>
      <w:ind w:left="360" w:firstLine="0"/>
    </w:pPr>
    <w:r/>
  </w:p>
  <w:p>
    <w:pPr>
      <w:pStyle w:val="para6"/>
      <w:numPr>
        <w:ilvl w:val="0"/>
        <w:numId w:val="0"/>
      </w:numPr>
      <w:ind w:left="360" w:firstLine="0"/>
      <w:spacing/>
      <w:jc w:val="center"/>
    </w:pPr>
    <w:r>
      <w:fldChar w:fldCharType="begin"/>
      <w:instrText xml:space="preserve"> PAGE </w:instrText>
      <w:fldChar w:fldCharType="separate"/>
      <w:t>9</w: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  <w:numPr>
        <w:ilvl w:val="0"/>
        <w:numId w:val="0"/>
      </w:numPr>
      <w:ind w:left="360" w:firstLine="0"/>
    </w:pPr>
    <w:r/>
  </w:p>
  <w:p>
    <w:pPr>
      <w:pStyle w:val="para6"/>
      <w:numPr>
        <w:ilvl w:val="0"/>
        <w:numId w:val="0"/>
      </w:numPr>
      <w:ind w:left="360" w:firstLine="0"/>
      <w:spacing/>
      <w:jc w:val="center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multiLevelType w:val="singleLevel"/>
    <w:name w:val="Bullet 2"/>
    <w:lvl w:ilvl="0">
      <w:start w:val="2"/>
      <w:numFmt w:val="decimal"/>
      <w:lvlText w:val="%1"/>
      <w:lvlJc w:val="left"/>
      <w:pPr>
        <w:tabs>
          <w:tab w:val="num" w:pos="4195"/>
        </w:tabs>
        <w:ind w:left="4195" w:hanging="4195"/>
      </w:pPr>
    </w:lvl>
  </w:abstractNum>
  <w:abstractNum w:abstractNumId="3">
    <w:multiLevelType w:val="singleLevel"/>
    <w:name w:val="Bullet 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multiLevelType w:val="singleLevel"/>
    <w:name w:val="Bullet 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multiLevelType w:val="singleLevel"/>
    <w:name w:val="Bullet 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multiLevelType w:val="singleLevel"/>
    <w:name w:val="Bullet 6"/>
    <w:lvl w:ilvl="0">
      <w:start w:val="2"/>
      <w:numFmt w:val="decimal"/>
      <w:lvlText w:val="%1"/>
      <w:lvlJc w:val="left"/>
      <w:pPr>
        <w:tabs>
          <w:tab w:val="num" w:pos="3005"/>
        </w:tabs>
        <w:ind w:left="3005" w:hanging="3005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9217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4"/>
    <w:tmLastPosSelect w:val="0"/>
    <w:tmLastPosFrameIdx w:val="0"/>
    <w:tmLastPosCaret>
      <w:tmLastPosPgfIdx w:val="22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0436202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" w:customStyle="1">
    <w:name w:val="ConsPlusNormal"/>
    <w:qFormat/>
    <w:pPr>
      <w:widowControl/>
    </w:pPr>
    <w:rPr>
      <w:rFonts w:ascii="Calibri" w:hAnsi="Calibri" w:eastAsia="Calibri" w:cs="Calibri"/>
      <w:sz w:val="28"/>
      <w:szCs w:val="28"/>
      <w:lang w:val="ru-ru" w:eastAsia="ru-ru" w:bidi="ar-sa"/>
    </w:rPr>
  </w:style>
  <w:style w:type="paragraph" w:styleId="para2">
    <w:name w:val="Endnote Text"/>
    <w:qFormat/>
    <w:basedOn w:val="para0"/>
    <w:pPr>
      <w:widowControl/>
    </w:pPr>
    <w:rPr>
      <w:rFonts w:eastAsia="Calibri"/>
    </w:rPr>
  </w:style>
  <w:style w:type="paragraph" w:styleId="para3">
    <w:name w:val="Footnote Text"/>
    <w:qFormat/>
    <w:basedOn w:val="para0"/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>
    <w:name w:val="Footer"/>
    <w:qFormat/>
    <w:basedOn w:val="para0"/>
    <w:pPr>
      <w:tabs defTabSz="708">
        <w:tab w:val="center" w:pos="4677" w:leader="none"/>
        <w:tab w:val="right" w:pos="9354" w:leader="none"/>
      </w:tabs>
    </w:pPr>
  </w:style>
  <w:style w:type="paragraph" w:styleId="para7">
    <w:name w:val="Header"/>
    <w:qFormat/>
    <w:basedOn w:val="para0"/>
    <w:pPr>
      <w:tabs defTabSz="708">
        <w:tab w:val="center" w:pos="4677" w:leader="none"/>
        <w:tab w:val="right" w:pos="9354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Текст концевой сноски Знак"/>
    <w:basedOn w:val="char0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char3">
    <w:name w:val="Endnote Reference"/>
    <w:basedOn w:val="char0"/>
    <w:rPr>
      <w:vertAlign w:val="superscript"/>
    </w:rPr>
  </w:style>
  <w:style w:type="character" w:styleId="char4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har5">
    <w:name w:val="Footnote Reference"/>
    <w:basedOn w:val="char0"/>
    <w:rPr>
      <w:vertAlign w:val="superscript"/>
    </w:rPr>
  </w:style>
  <w:style w:type="character" w:styleId="char6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" w:customStyle="1">
    <w:name w:val="ConsPlusNormal"/>
    <w:qFormat/>
    <w:pPr>
      <w:widowControl/>
    </w:pPr>
    <w:rPr>
      <w:rFonts w:ascii="Calibri" w:hAnsi="Calibri" w:eastAsia="Calibri" w:cs="Calibri"/>
      <w:sz w:val="28"/>
      <w:szCs w:val="28"/>
      <w:lang w:val="ru-ru" w:eastAsia="ru-ru" w:bidi="ar-sa"/>
    </w:rPr>
  </w:style>
  <w:style w:type="paragraph" w:styleId="para2">
    <w:name w:val="Endnote Text"/>
    <w:qFormat/>
    <w:basedOn w:val="para0"/>
    <w:pPr>
      <w:widowControl/>
    </w:pPr>
    <w:rPr>
      <w:rFonts w:eastAsia="Calibri"/>
    </w:rPr>
  </w:style>
  <w:style w:type="paragraph" w:styleId="para3">
    <w:name w:val="Footnote Text"/>
    <w:qFormat/>
    <w:basedOn w:val="para0"/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>
    <w:name w:val="Footer"/>
    <w:qFormat/>
    <w:basedOn w:val="para0"/>
    <w:pPr>
      <w:tabs defTabSz="708">
        <w:tab w:val="center" w:pos="4677" w:leader="none"/>
        <w:tab w:val="right" w:pos="9354" w:leader="none"/>
      </w:tabs>
    </w:pPr>
  </w:style>
  <w:style w:type="paragraph" w:styleId="para7">
    <w:name w:val="Header"/>
    <w:qFormat/>
    <w:basedOn w:val="para0"/>
    <w:pPr>
      <w:tabs defTabSz="708">
        <w:tab w:val="center" w:pos="4677" w:leader="none"/>
        <w:tab w:val="right" w:pos="9354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Текст концевой сноски Знак"/>
    <w:basedOn w:val="char0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char3">
    <w:name w:val="Endnote Reference"/>
    <w:basedOn w:val="char0"/>
    <w:rPr>
      <w:vertAlign w:val="superscript"/>
    </w:rPr>
  </w:style>
  <w:style w:type="character" w:styleId="char4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har5">
    <w:name w:val="Footnote Reference"/>
    <w:basedOn w:val="char0"/>
    <w:rPr>
      <w:vertAlign w:val="superscript"/>
    </w:rPr>
  </w:style>
  <w:style w:type="character" w:styleId="char6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consultantplus://offline/ref=77A101A96A14DAE6AC5825A1958C0FED4225E45834F785268922E568B15754260BC2B989EF00639E18EFC7761C1DAEDC426C8C95AE85908Ee4rF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Cвирейко Наталья Владимировна</dc:creator>
  <cp:keywords/>
  <dc:description/>
  <cp:lastModifiedBy/>
  <cp:revision>14</cp:revision>
  <cp:lastPrinted>2024-07-08T11:11:19Z</cp:lastPrinted>
  <dcterms:created xsi:type="dcterms:W3CDTF">2024-05-24T09:24:00Z</dcterms:created>
  <dcterms:modified xsi:type="dcterms:W3CDTF">2024-07-08T10:56:42Z</dcterms:modified>
</cp:coreProperties>
</file>