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1"/>
        <w:ind w:firstLine="708"/>
        <w: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>
      <w:pPr>
        <w:pStyle w:val="para1"/>
        <w:ind w:firstLine="708"/>
        <w: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"/>
        <w:ind w:firstLine="708"/>
        <w: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>
      <w:pPr>
        <w:pStyle w:val="para1"/>
        <w:ind w:firstLine="708"/>
        <w:spacing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приказом руководителя филиала </w:t>
      </w:r>
      <w:r>
        <w:rPr>
          <w:rFonts w:ascii="Times New Roman" w:hAnsi="Times New Roman" w:cs="Times New Roman"/>
          <w:sz w:val="28"/>
          <w:szCs w:val="28"/>
          <w:lang w:eastAsia="zh-cn"/>
        </w:rPr>
      </w:r>
    </w:p>
    <w:p>
      <w:pPr>
        <w:pStyle w:val="para1"/>
        <w:ind w:firstLine="708"/>
        <w:spacing/>
        <w:jc w:val="right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ГРДНТ им. В.Д. Поленова «ФУКЦ РФ»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</w:r>
    </w:p>
    <w:p>
      <w:pPr>
        <w:pStyle w:val="para1"/>
        <w:ind w:firstLine="708"/>
        <w: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17.06.2024 № 46/01-08</w:t>
      </w:r>
    </w:p>
    <w:p>
      <w:pPr>
        <w:pStyle w:val="para1"/>
        <w:ind w:firstLine="708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"/>
        <w:ind w:firstLine="708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"/>
        <w:ind w:firstLine="708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"/>
        <w:ind w:firstLine="708"/>
        <w: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>
      <w:pPr>
        <w:pStyle w:val="para1"/>
        <w:spacing/>
        <w:jc w:val="center"/>
        <w:rPr>
          <w:rFonts w:ascii="Times New Roman" w:hAnsi="Times New Roman" w:cs="Times New Roman"/>
          <w:b/>
          <w:highlight w:val="yellow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порядке уведомления работником руководителя</w:t>
      </w:r>
      <w:r>
        <w:rPr>
          <w:rFonts w:ascii="Times New Roman" w:hAnsi="Times New Roman" w:cs="Times New Roman"/>
          <w:b/>
          <w:highlight w:val="yellow"/>
          <w:bCs/>
          <w:sz w:val="28"/>
          <w:szCs w:val="28"/>
        </w:rPr>
      </w:r>
    </w:p>
    <w:p>
      <w:pPr>
        <w:pStyle w:val="para1"/>
        <w: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филиала ГРДНТ им. В.Д. Поленова</w:t>
      </w:r>
    </w:p>
    <w:p>
      <w:pPr>
        <w:spacing w:after="0" w:line="240" w:lineRule="auto"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«Финно-угорский культурный центр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»</w:t>
      </w:r>
    </w:p>
    <w:p>
      <w:pPr>
        <w:pStyle w:val="para1"/>
        <w: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возникновении конфликта интересов и урегулирования выявленного конфликта интересов</w:t>
      </w:r>
    </w:p>
    <w:p>
      <w:pPr>
        <w:pStyle w:val="para1"/>
        <w: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"/>
        <w:ind w:firstLine="708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определяются правила уведомления работниками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филиала ГРДНТ им. В.Д. Поленова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«Финно-угорский культурный центр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Положение, Филиал)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Порядок).</w:t>
      </w:r>
    </w:p>
    <w:p>
      <w:pPr>
        <w:pStyle w:val="para1"/>
        <w:ind w:firstLine="708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разработано во исполнение Федерального закона Российской Федерации от 25.12.2008 № 273-ФЗ «О противодействии коррупции», Указа Президента Российской Федерации от 19.05.2008 № 815 «О мерах по противодействию коррупции»,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а также приказа Минкультуры России от 12.05.2021 N 616 «Об утверждении порядка уведомления работодателя работниками, замещающими отдельные должности в организациях, созданных для выполнения задач, поставленных перед Министерством культуры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>
      <w:pPr>
        <w:pStyle w:val="para1"/>
        <w:ind w:firstLine="708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Работники Филиала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>
      <w:pPr>
        <w:pStyle w:val="para1"/>
        <w:ind w:firstLine="708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и представляется работником, составившим это Уведомление, ответственному </w:t>
      </w:r>
      <w:r>
        <w:rPr>
          <w:rFonts w:ascii="Times New Roman" w:hAnsi="Times New Roman" w:eastAsia="Lucida Sans Unicode" w:cs="Times New Roman"/>
          <w:sz w:val="28"/>
          <w:szCs w:val="28"/>
          <w:lang w:eastAsia="zh-cn"/>
        </w:rPr>
        <w:t>за организацию работы по профилактике коррупционных и иных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(далее – Ответственное лицо).</w:t>
      </w:r>
    </w:p>
    <w:p>
      <w:pPr>
        <w:pStyle w:val="para1"/>
        <w:ind w:firstLine="708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Уведомление составляется собственноручно по форме согласно приложению № 1 к настоящему Положению.</w:t>
      </w:r>
    </w:p>
    <w:p>
      <w:pPr>
        <w:pStyle w:val="para1"/>
        <w:ind w:firstLine="708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Регистрация Уведомлений осуществляется в день их поступления в журнале регистрации уведомлений о возникновении личной заинтересованности, которая приводит или может привести к конфликту интересов, составленном по форме согласно приложению № 2 к Положению.</w:t>
      </w:r>
    </w:p>
    <w:p>
      <w:pPr>
        <w:pStyle w:val="para1"/>
        <w:ind w:firstLine="708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Копия зарегистрированного в установленном порядке Уведомления выдается работнику Филиала на руки, либо направляется по почте с уведомлением о вручении. На копии Уведомления, подлежащего передаче, ставиться отметка «Уведомление зарегистрировано» с указанием даты и номера регистрации Уведомления, фамилии, инициалов и должности лица, зарегистрировавшего данное Уведомление.</w:t>
      </w:r>
    </w:p>
    <w:p>
      <w:pPr>
        <w:pStyle w:val="para1"/>
        <w:ind w:firstLine="708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Уведомление в трехдневный срок с момента его регистрации направляется руководителю филиала для рассмотрения.</w:t>
      </w:r>
    </w:p>
    <w:p>
      <w:pPr>
        <w:pStyle w:val="para1"/>
        <w:ind w:firstLine="708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Руководитель филиала рассматривает Уведомление в течение 10 рабочих дней. По результатам рассмотрения принимается одно из следующих решений: </w:t>
      </w:r>
    </w:p>
    <w:p>
      <w:pPr>
        <w:pStyle w:val="para1"/>
        <w:ind w:firstLine="708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случае отсутствия конфликта интересов на Уведомлении ставится отметка об ознакомлении, и оно возвращается Ответственному лицу для сведения. Ответственное лицо передает подлинник Уведомления с отметкой руководителя Филиала в структурное подразделение (должностному лицу) по работе с персоналом для приобщения к личному делу;</w:t>
      </w:r>
    </w:p>
    <w:p>
      <w:pPr>
        <w:pStyle w:val="para1"/>
        <w:ind w:firstLine="708"/>
        <w:spacing/>
        <w:jc w:val="both"/>
        <w:rPr>
          <w:rFonts w:ascii="Times New Roman" w:hAnsi="Times New Roman" w:eastAsia="Times New Roman" w:cs="Times New Roman"/>
          <w:highlight w:val="yellow"/>
          <w:sz w:val="28"/>
          <w:szCs w:val="28"/>
          <w:u w:color="auto" w:val="single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б) в случае усмотрения руководителем филиала возможности возникновения конфликта интересов Уведомление подлежит направлению для рассмотрения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комиссию по противодействию коррупции и 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</w:rPr>
        <w:t xml:space="preserve">Филиала (далее - Комиссия). Рассмотрение Уведомления Комиссией осуществляется в порядке, установленном приказом руководителя Филиала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от 17.06.2024 г. № 43/01-08</w:t>
      </w:r>
      <w:r>
        <w:rPr>
          <w:rFonts w:ascii="Times New Roman" w:hAnsi="Times New Roman" w:eastAsia="Times New Roman" w:cs="Times New Roman"/>
          <w:highlight w:val="yellow"/>
          <w:sz w:val="28"/>
          <w:szCs w:val="28"/>
          <w:u w:color="auto" w:val="single"/>
          <w:lang w:eastAsia="zh-cn"/>
        </w:rPr>
      </w:r>
    </w:p>
    <w:p>
      <w:pPr>
        <w:pStyle w:val="para1"/>
        <w:ind w:firstLine="708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ходе рассмотрения вопроса, указанного в подпункте «б» пункта 7 Порядка, члены Комиссии имеют право получать в установленном порядке от лиц, направивших уведомления, пояснения по изложенным в них обстоятельствам.</w:t>
      </w:r>
    </w:p>
    <w:p>
      <w:pPr>
        <w:pStyle w:val="para1"/>
        <w:ind w:firstLine="708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Заключения, документы и другие материалы, полученные в ходе рассмотрения Уведомления, представляются председателю Комиссии в течение 1 (одного) рабочего дня со дня поступления таких материалов в Филиал.</w:t>
      </w:r>
    </w:p>
    <w:p>
      <w:pPr>
        <w:pStyle w:val="para1"/>
        <w:ind w:firstLine="708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 итогам рассмотрения вопроса, указанного в подпункте «б» пункта</w:t>
      </w:r>
    </w:p>
    <w:p>
      <w:pPr>
        <w:pStyle w:val="para1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Порядка, Комиссия принимает одно из следующих решений:</w:t>
      </w:r>
    </w:p>
    <w:p>
      <w:pPr>
        <w:pStyle w:val="para1"/>
        <w:ind w:firstLine="708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работником, направившим Уведомление, конфликт интересов отсутствует;</w:t>
      </w:r>
    </w:p>
    <w:p>
      <w:pPr>
        <w:pStyle w:val="para1"/>
        <w:ind w:firstLine="708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работником, направившим Уведомление, личная заинтересованность приводит или может привести к конфликту интересов. В этом случае Комиссия рекомендует работнику Филиала и (или) руководителю филиала принять меры по урегулированию конфликта интересов или по недопущению его возникновения;</w:t>
      </w:r>
    </w:p>
    <w:p>
      <w:pPr>
        <w:pStyle w:val="para1"/>
        <w:ind w:firstLine="708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признать, что работником, направившим Уведомление, не соблюдались требования об урегулировании конфликта интересов. В этом случае Комиссия рекомендует руководителю филиала применить к работнику конкретную меру ответственности.</w:t>
      </w:r>
    </w:p>
    <w:p>
      <w:pPr>
        <w:pStyle w:val="para1"/>
        <w:ind w:firstLine="708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Руководитель филиала с учетом решения Комиссии принимает решение о применении (не применении) к работнику мер дисциплинарной ответственности.</w:t>
      </w:r>
    </w:p>
    <w:p>
      <w:pPr>
        <w:pStyle w:val="para1"/>
        <w:ind w:firstLine="708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"/>
        <w:ind w:firstLine="708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"/>
        <w:ind w:firstLine="708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"/>
        <w:ind w:firstLine="708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"/>
        <w:ind w:firstLine="708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"/>
        <w:ind w:firstLine="708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"/>
        <w:ind w:firstLine="708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"/>
        <w:ind w:firstLine="708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"/>
        <w:ind w:firstLine="708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"/>
        <w:ind w:firstLine="708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"/>
        <w:ind w:firstLine="708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"/>
        <w:ind w:firstLine="708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"/>
        <w:ind w:firstLine="708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"/>
        <w:ind w:firstLine="708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"/>
        <w:ind w:firstLine="708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"/>
        <w:ind w:firstLine="708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"/>
        <w:ind w:firstLine="708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"/>
        <w:ind w:firstLine="708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"/>
        <w:ind w:firstLine="708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"/>
        <w:ind w:firstLine="708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"/>
        <w:ind w:firstLine="708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"/>
        <w:ind w:firstLine="708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"/>
        <w:ind w:firstLine="708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"/>
        <w:ind w:firstLine="708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"/>
        <w:ind w:firstLine="708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"/>
        <w:ind w:firstLine="708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"/>
        <w:ind w:firstLine="708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"/>
        <w:ind w:firstLine="708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"/>
        <w:ind w:firstLine="708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"/>
        <w:ind w:firstLine="708"/>
        <w:spacing/>
        <w:jc w:val="right"/>
        <w:rPr>
          <w:rFonts w:ascii="Times New Roman" w:hAnsi="Times New Roman" w:cs="Times New Roman"/>
          <w:sz w:val="28"/>
          <w:szCs w:val="28"/>
        </w:rPr>
      </w:pPr>
      <w:r>
        <w:br w:type="page"/>
      </w:r>
      <w:r>
        <w:rPr>
          <w:rFonts w:ascii="Times New Roman" w:hAnsi="Times New Roman" w:cs="Times New Roman"/>
          <w:sz w:val="28"/>
          <w:szCs w:val="28"/>
        </w:rPr>
        <w:t>Приложение 1 к Положению</w:t>
      </w:r>
    </w:p>
    <w:p>
      <w:pPr>
        <w:pStyle w:val="para1"/>
        <w:ind w:firstLine="708"/>
        <w: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17.06.2024 № 47/01-08</w:t>
      </w:r>
    </w:p>
    <w:p>
      <w:pPr>
        <w:pStyle w:val="para1"/>
        <w:ind w:firstLine="708"/>
        <w:spacing/>
        <w:jc w:val="right"/>
        <w:rPr>
          <w:rFonts w:ascii="Times New Roman" w:hAnsi="Times New Roman" w:cs="Times New Roman"/>
          <w:highlight w:val="yellow"/>
          <w:sz w:val="28"/>
          <w:szCs w:val="28"/>
        </w:rPr>
      </w:pPr>
      <w:r>
        <w:rPr>
          <w:rFonts w:ascii="Times New Roman" w:hAnsi="Times New Roman" w:cs="Times New Roman"/>
          <w:highlight w:val="yellow"/>
          <w:sz w:val="28"/>
          <w:szCs w:val="28"/>
        </w:rPr>
      </w:r>
    </w:p>
    <w:p>
      <w:pPr>
        <w:pStyle w:val="para1"/>
        <w:ind w:firstLine="708"/>
        <w: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филиала ГРДНТ</w:t>
      </w:r>
    </w:p>
    <w:p>
      <w:pPr>
        <w:pStyle w:val="para1"/>
        <w:ind w:firstLine="708"/>
        <w: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им. В.Д. Поленова «ФУКЦ РФ»</w:t>
      </w:r>
    </w:p>
    <w:p>
      <w:pPr>
        <w:pStyle w:val="para1"/>
        <w:ind w:firstLine="708"/>
        <w: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>
      <w:pPr>
        <w:pStyle w:val="para1"/>
        <w:ind w:left="4820" w:right="424"/>
        <w: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>
      <w:pPr>
        <w:pStyle w:val="para1"/>
        <w:ind w:left="4820" w:right="424"/>
        <w: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</w:p>
    <w:p>
      <w:pPr>
        <w:pStyle w:val="para1"/>
        <w:ind w:firstLine="708"/>
        <w: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>
      <w:pPr>
        <w:pStyle w:val="para1"/>
        <w:ind w:left="4820" w:right="424"/>
        <w: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>
      <w:pPr>
        <w:pStyle w:val="para1"/>
        <w:ind w:left="4820" w:right="-1"/>
        <w: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>
      <w:pPr>
        <w:pStyle w:val="para1"/>
        <w:ind w:left="4820" w:right="-1"/>
        <w: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(должность)</w:t>
      </w:r>
    </w:p>
    <w:p>
      <w:pPr>
        <w:pStyle w:val="para1"/>
        <w:ind w:left="4820" w:right="-1"/>
        <w: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>
      <w:pPr>
        <w:pStyle w:val="para1"/>
        <w:ind w:left="4820" w:right="-1"/>
        <w: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(телефон)</w:t>
      </w:r>
    </w:p>
    <w:p>
      <w:pPr>
        <w:pStyle w:val="para1"/>
        <w:ind w:right="-1"/>
        <w: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"/>
        <w:ind w:right="-1"/>
        <w: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para1"/>
        <w:ind w:right="-1"/>
        <w: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>
      <w:pPr>
        <w:pStyle w:val="para1"/>
        <w:ind w:right="-1"/>
        <w: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"/>
        <w:ind w:right="-1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>
      <w:pPr>
        <w:pStyle w:val="para1"/>
        <w:ind w:right="-1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Обстоятельства, являющиеся основанием возникновении личной заинтересованности: ________________________________________________</w:t>
      </w:r>
    </w:p>
    <w:p>
      <w:pPr>
        <w:pStyle w:val="para1"/>
        <w:ind w:right="-1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>
      <w:pPr>
        <w:pStyle w:val="para1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Должностные обязанности, на исполнение которых влияет или может повлиять личная заинтересованность: _________________________________</w:t>
      </w:r>
    </w:p>
    <w:p>
      <w:pPr>
        <w:pStyle w:val="para1"/>
        <w:ind w:right="-1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>
      <w:pPr>
        <w:pStyle w:val="para1"/>
        <w:ind w:right="-1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_________________________________________________________</w:t>
      </w:r>
    </w:p>
    <w:p>
      <w:pPr>
        <w:pStyle w:val="para1"/>
        <w:ind w:right="-1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pStyle w:val="para1"/>
        <w:ind w:right="-1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"/>
        <w:ind w:right="-1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 20___ г.    ______________   ________________________</w:t>
      </w:r>
    </w:p>
    <w:p>
      <w:pPr>
        <w:pStyle w:val="para1"/>
        <w:ind w:right="-1"/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 xml:space="preserve">(подпись) </w:t>
        <w:tab/>
        <w:tab/>
        <w:t>(расшифровка подписи)</w:t>
      </w:r>
    </w:p>
    <w:p>
      <w:pPr>
        <w:pStyle w:val="para1"/>
        <w:ind w:right="-1"/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para1"/>
        <w:ind w:right="-1"/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</w:t>
      </w:r>
    </w:p>
    <w:p>
      <w:pPr>
        <w:pStyle w:val="para1"/>
        <w:ind w:right="-1"/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журнале регистрации уведомлений                     __________________________</w:t>
      </w:r>
    </w:p>
    <w:p>
      <w:pPr>
        <w:pStyle w:val="para1"/>
        <w:ind w:right="-1"/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para1"/>
        <w:ind w:right="-1"/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регистрации уведомления                                «_____» ____________ 20___ г.</w:t>
      </w:r>
    </w:p>
    <w:p>
      <w:pPr>
        <w:pStyle w:val="para1"/>
        <w:ind w:right="-1"/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para1"/>
        <w:ind w:right="-1"/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           __________________________</w:t>
      </w:r>
    </w:p>
    <w:p>
      <w:pPr>
        <w:pStyle w:val="para1"/>
        <w:ind w:right="-1"/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(Ф.И.О. лица, зарегистрировавшего </w:t>
        <w:tab/>
        <w:tab/>
        <w:t>(подпись лица, зарегистрировавшего</w:t>
      </w:r>
    </w:p>
    <w:p>
      <w:pPr>
        <w:pStyle w:val="para1"/>
        <w:ind w:right="-1"/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уведомление)</w:t>
        <w:tab/>
        <w:tab/>
        <w:tab/>
        <w:tab/>
        <w:tab/>
        <w:tab/>
      </w:r>
    </w:p>
    <w:p>
      <w:pPr>
        <w:pStyle w:val="para1"/>
        <w:ind w:right="-1"/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уведомление)</w:t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6838" w:w="11906"/>
          <w:pgMar w:left="1701" w:top="1134" w:right="850" w:bottom="1134" w:header="0" w:footer="0"/>
          <w:paperSrc w:first="4" w:other="4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1"/>
        <w:ind w:firstLine="708"/>
        <w: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к Положению</w:t>
      </w:r>
    </w:p>
    <w:p>
      <w:pPr>
        <w:pStyle w:val="para1"/>
        <w:ind w:firstLine="708"/>
        <w: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17.06.2024 № 47/01-08</w:t>
      </w:r>
    </w:p>
    <w:p>
      <w:pPr>
        <w:pStyle w:val="para1"/>
        <w:ind w:right="-1"/>
        <w: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para1"/>
        <w:ind w:right="-1"/>
        <w: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para1"/>
        <w:ind w:right="-1"/>
        <w: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Журнал регистрации уведомлений о возникновении личной заинтересованности, которая приводит или может привести к конфликту интересов</w:t>
      </w:r>
    </w:p>
    <w:p>
      <w:pPr>
        <w:pStyle w:val="para1"/>
        <w:ind w:right="-1"/>
        <w: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para1"/>
        <w:ind w:right="-1"/>
        <w: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Style w:val="TableGrid"/>
        <w:name w:val="Таблица1"/>
        <w:tabOrder w:val="0"/>
        <w:jc w:val="left"/>
        <w:tblInd w:w="0" w:type="dxa"/>
        <w:tblW w:w="14541" w:type="dxa"/>
        <w:tblLook w:val="04A0" w:firstRow="1" w:lastRow="0" w:firstColumn="1" w:lastColumn="0" w:noHBand="0" w:noVBand="1"/>
      </w:tblPr>
      <w:tblGrid>
        <w:gridCol w:w="671"/>
        <w:gridCol w:w="986"/>
        <w:gridCol w:w="1166"/>
        <w:gridCol w:w="2588"/>
        <w:gridCol w:w="1591"/>
        <w:gridCol w:w="1124"/>
        <w:gridCol w:w="2234"/>
        <w:gridCol w:w="1540"/>
        <w:gridCol w:w="1132"/>
        <w:gridCol w:w="1509"/>
      </w:tblGrid>
      <w:tr>
        <w:trPr>
          <w:tblHeader w:val="0"/>
          <w:cantSplit w:val="0"/>
          <w:trHeight w:val="1338" w:hRule="atLeast"/>
        </w:trPr>
        <w:tc>
          <w:tcPr>
            <w:tcW w:w="671" w:type="dxa"/>
            <w:vMerge w:val="restart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86" w:type="dxa"/>
            <w:vMerge w:val="restart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1166" w:type="dxa"/>
            <w:vMerge w:val="restart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5303" w:type="dxa"/>
            <w:gridSpan w:val="3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представлено</w:t>
            </w:r>
          </w:p>
        </w:tc>
        <w:tc>
          <w:tcPr>
            <w:tcW w:w="4906" w:type="dxa"/>
            <w:gridSpan w:val="3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зарегистрировано</w:t>
            </w:r>
          </w:p>
        </w:tc>
        <w:tc>
          <w:tcPr>
            <w:tcW w:w="1509" w:type="dxa"/>
            <w:vMerge w:val="restart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получении уведомления (копию получил, подпись), либо о направлении копии уведомления по почте</w:t>
            </w:r>
          </w:p>
        </w:tc>
      </w:tr>
      <w:tr>
        <w:trPr>
          <w:tblHeader w:val="0"/>
          <w:cantSplit w:val="0"/>
          <w:trHeight w:val="1338" w:hRule="atLeast"/>
        </w:trPr>
        <w:tc>
          <w:tcPr>
            <w:tcW w:w="671" w:type="dxa"/>
            <w:vMerge/>
            <w:tmTcPr id="1720181589" protected="0"/>
          </w:tcPr>
          <w:p>
            <w:pPr>
              <w:spacing w:after="0" w:line="240" w:lineRule="auto"/>
            </w:pPr>
          </w:p>
        </w:tc>
        <w:tc>
          <w:tcPr>
            <w:tcW w:w="986" w:type="dxa"/>
            <w:vMerge/>
            <w:tmTcPr id="1720181589" protected="0"/>
          </w:tcPr>
          <w:p>
            <w:pPr>
              <w:spacing w:after="0" w:line="240" w:lineRule="auto"/>
            </w:pPr>
          </w:p>
        </w:tc>
        <w:tc>
          <w:tcPr>
            <w:tcW w:w="1166" w:type="dxa"/>
            <w:vMerge/>
            <w:tmTcPr id="1720181589" protected="0"/>
          </w:tcPr>
          <w:p>
            <w:pPr>
              <w:spacing w:after="0" w:line="240" w:lineRule="auto"/>
            </w:pPr>
          </w:p>
        </w:tc>
        <w:tc>
          <w:tcPr>
            <w:tcW w:w="2588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91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24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234" w:type="dxa"/>
            <w:tcMar>
              <w:right w:w="4" w:type="dxa"/>
            </w:tcMar>
            <w:tmTcPr id="1720181589" protected="0"/>
          </w:tcPr>
          <w:p>
            <w:pPr>
              <w:pStyle w:val="para1"/>
              <w:ind w:right="-104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40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32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509" w:type="dxa"/>
            <w:vMerge/>
            <w:tmTcPr id="1720181589" protected="0"/>
          </w:tcPr>
          <w:p>
            <w:pPr>
              <w:spacing w:after="0" w:line="240" w:lineRule="auto"/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671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986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166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588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591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124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234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540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132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509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1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986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166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588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591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124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234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540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132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509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1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986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166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588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591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124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234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540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132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509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1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986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166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588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591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124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234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540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132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509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1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986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166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588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591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124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234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540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132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509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1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986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166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588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591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124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234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540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132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509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1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986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166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588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591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124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234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540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132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509" w:type="dxa"/>
            <w:tmTcPr id="1720181589" protected="0"/>
          </w:tcPr>
          <w:p>
            <w:pPr>
              <w:pStyle w:val="para1"/>
              <w:ind w:right="-1"/>
              <w: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para1"/>
        <w:ind w:right="-1"/>
        <w: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para1"/>
        <w:ind w:right="-1"/>
        <w: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para1"/>
        <w:ind w:right="-1"/>
        <w: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para1"/>
        <w:ind w:right="-1"/>
        <w: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1906" w:w="16838" w:orient="landscape"/>
      <w:pgMar w:left="1134" w:top="1701" w:right="1134" w:bottom="851" w:header="0" w:footer="0"/>
      <w:paperSrc w:first="4" w:other="4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alibri Light">
    <w:panose1 w:val="020F0302020204030204"/>
    <w:charset w:val="cc"/>
    <w:family w:val="swiss"/>
    <w:pitch w:val="default"/>
  </w:font>
  <w:font w:name="Lucida Sans Unicode">
    <w:panose1 w:val="020B060203050402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4"/>
    <w:tmLastPosSelect w:val="0"/>
    <w:tmLastPosFrameIdx w:val="0"/>
    <w:tmLastPosCaret>
      <w:tmLastPosPgfIdx w:val="112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20181589" w:val="106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kern w:val="1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No Spacing"/>
    <w:qFormat/>
    <w:pPr>
      <w:spacing w:after="0" w:line="240" w:lineRule="auto"/>
    </w:pPr>
    <w:rPr>
      <w:rFonts w:ascii="Calibri" w:hAnsi="Calibri" w:eastAsia="Calibri" w:cs="Calibri"/>
      <w:kern w:val="1"/>
      <w:sz w:val="22"/>
      <w:szCs w:val="22"/>
      <w:lang w:val="ru-ru" w:eastAsia="en-us" w:bidi="ar-sa"/>
    </w:rPr>
  </w:style>
  <w:style w:type="paragraph" w:styleId="para2" w:customStyle="1">
    <w:name w:val="ConsPlusNormal"/>
    <w:qFormat/>
    <w:pPr>
      <w:spacing w:after="0" w:line="240" w:lineRule="auto"/>
      <w:widowControl w:val="0"/>
    </w:pPr>
    <w:rPr>
      <w:rFonts w:ascii="Calibri" w:hAnsi="Calibri" w:eastAsia="Calibri" w:cs="Calibri"/>
      <w:kern w:val="1"/>
      <w:sz w:val="22"/>
      <w:szCs w:val="22"/>
      <w:lang w:val="ru-ru" w:eastAsia="ru-ru" w:bidi="ar-sa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Сетка таблицы"/>
    <w:basedOn w:val="NormalTable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kern w:val="1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No Spacing"/>
    <w:qFormat/>
    <w:pPr>
      <w:spacing w:after="0" w:line="240" w:lineRule="auto"/>
    </w:pPr>
    <w:rPr>
      <w:rFonts w:ascii="Calibri" w:hAnsi="Calibri" w:eastAsia="Calibri" w:cs="Calibri"/>
      <w:kern w:val="1"/>
      <w:sz w:val="22"/>
      <w:szCs w:val="22"/>
      <w:lang w:val="ru-ru" w:eastAsia="en-us" w:bidi="ar-sa"/>
    </w:rPr>
  </w:style>
  <w:style w:type="paragraph" w:styleId="para2" w:customStyle="1">
    <w:name w:val="ConsPlusNormal"/>
    <w:qFormat/>
    <w:pPr>
      <w:spacing w:after="0" w:line="240" w:lineRule="auto"/>
      <w:widowControl w:val="0"/>
    </w:pPr>
    <w:rPr>
      <w:rFonts w:ascii="Calibri" w:hAnsi="Calibri" w:eastAsia="Calibri" w:cs="Calibri"/>
      <w:kern w:val="1"/>
      <w:sz w:val="22"/>
      <w:szCs w:val="22"/>
      <w:lang w:val="ru-ru" w:eastAsia="ru-ru" w:bidi="ar-sa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Сетка таблицы"/>
    <w:basedOn w:val="NormalTable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</dc:creator>
  <cp:keywords/>
  <dc:description/>
  <cp:lastModifiedBy/>
  <cp:revision>14</cp:revision>
  <cp:lastPrinted>2024-07-05T12:07:35Z</cp:lastPrinted>
  <dcterms:created xsi:type="dcterms:W3CDTF">2024-05-23T12:30:00Z</dcterms:created>
  <dcterms:modified xsi:type="dcterms:W3CDTF">2024-07-05T12:13:09Z</dcterms:modified>
</cp:coreProperties>
</file>