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right"/>
        <w:widowControl/>
        <w:tabs defTabSz="708">
          <w:tab w:val="left" w:pos="283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УТВЕРЖДЕНО</w:t>
      </w:r>
    </w:p>
    <w:p>
      <w:pPr>
        <w:spacing/>
        <w:jc w:val="right"/>
        <w:widowControl/>
        <w:tabs defTabSz="708">
          <w:tab w:val="left" w:pos="283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приказом руководителя филиала </w:t>
      </w:r>
    </w:p>
    <w:p>
      <w:pPr>
        <w:spacing/>
        <w:jc w:val="right"/>
        <w:widowControl/>
        <w:tabs defTabSz="708">
          <w:tab w:val="left" w:pos="283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ГРДНТ им. В.Д.  Поленова «ФУКЦ РФ»</w:t>
      </w:r>
    </w:p>
    <w:p>
      <w:pPr>
        <w:spacing/>
        <w:jc w:val="right"/>
        <w:widowControl/>
        <w:tabs defTabSz="708">
          <w:tab w:val="left" w:pos="283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u w:color="auto" w:val="single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от 08 ноября 2024 г. </w:t>
      </w:r>
      <w:r>
        <w:rPr>
          <w:rFonts w:eastAsia="Lucida Sans Unicode" w:cs="Tahoma"/>
          <w:sz w:val="24"/>
          <w:szCs w:val="24"/>
        </w:rPr>
        <w:t>№90/01-08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u w:color="auto" w:val="single"/>
        </w:rPr>
        <w:t xml:space="preserve">                                     </w:t>
      </w:r>
      <w:r>
        <w:rPr>
          <w:rFonts w:eastAsia="Times New Roman"/>
          <w:sz w:val="24"/>
          <w:szCs w:val="24"/>
          <w:u w:color="auto" w:val="single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ПОЛОЖЕНИЕ </w:t>
      </w:r>
    </w:p>
    <w:p>
      <w:pPr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32"/>
          <w:szCs w:val="32"/>
        </w:rPr>
      </w:pPr>
      <w:r>
        <w:rPr>
          <w:b/>
          <w:bCs/>
          <w:sz w:val="32"/>
          <w:szCs w:val="32"/>
        </w:rPr>
        <w:t xml:space="preserve">о «телефоне доверия» по вопросам противодействия коррупции в </w:t>
      </w:r>
      <w:r>
        <w:rPr>
          <w:rFonts w:eastAsia="Times New Roman"/>
          <w:b/>
          <w:sz w:val="32"/>
          <w:szCs w:val="32"/>
        </w:rPr>
        <w:t>филиале ГРДНТ им. В.Д. Поленова «Финно-угорский культурный центр Российской Федерации</w:t>
      </w:r>
      <w:r>
        <w:rPr>
          <w:rFonts w:eastAsia="Times New Roman"/>
          <w:sz w:val="32"/>
          <w:szCs w:val="32"/>
        </w:rPr>
        <w:t>»</w:t>
      </w:r>
      <w:r>
        <w:rPr>
          <w:rFonts w:eastAsia="Times New Roman"/>
          <w:sz w:val="32"/>
          <w:szCs w:val="32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1. Настоящее Положение устанавливает порядок работы «телефона доверия» по вопросам противодействия коррупции (далеепо тексту – «телефон доверия»), организации работы с обращениями граждан и организаций, полученными по «телефону доверия», о фактах проявления коррупции в</w:t>
      </w:r>
      <w:r>
        <w:rPr>
          <w:rFonts w:eastAsia="Times New Roman"/>
          <w:sz w:val="28"/>
          <w:szCs w:val="28"/>
        </w:rPr>
        <w:t xml:space="preserve"> филиале ГРДНТ им. В.Д. Поленова «Финно-угорский культурный центр Российской Федерации» (далее по тексту – Филиал)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2. «Телефон доверия» - это канал связи с гражданами и организациями (далее - абонент), созданный в целях оперативного реагирования на возможные коррупционные проявления в деятельности работников Филиала, а также для обеспечения защиты прав и законных интересов граждан.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sz w:val="28"/>
          <w:szCs w:val="28"/>
        </w:rPr>
        <w:t xml:space="preserve">3. «Телефон доверия» 8 (8212) </w:t>
      </w:r>
      <w:r>
        <w:rPr>
          <w:color w:val="000000"/>
          <w:sz w:val="28"/>
          <w:szCs w:val="28"/>
        </w:rPr>
        <w:t>24-32-80</w:t>
      </w:r>
      <w:r/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4.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с понедельника по четверг - с 09.00 до 17.30 часов, пятница  - с 09.00 до 16.00 часов по московскому времени.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5. По «телефону доверия» принимается и рассматривается информация о фактах коррупционных проявлений в действиях работников Филиала.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6. Информация о функционировании «телефона доверия» и о правилах приема сообщений размещается в подразделе «Обратная связь» раздела «Противодействие коррупции» официального сайта Филиала в информационно телекоммуникационной сети «Интернет».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7. «Телефон доверия» устанавливается в кабинете Филиала №108.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8. При ответе на телефонные звонки работники Филиала, ответственные за организацию работы «телефона доверия», обязаны: назвать фамилию, имя, отчество, занимаемую должность; 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Филиала; 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 предложить гражданину изложить суть вопроса.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по вопросам противодействия коррупции (далее - Журнал), форма которого предусмотрена приложением № 1 к настоящему Положению.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10. 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11. Ответ гражданину, организации дается в порядке и сроки, установленные законодательством.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13. Прием, учет и предварительная обработка сообщений о фактах проявления коррупции, поступающих по «телефону доверия», осуществляется работниками Филиала, ответственными за организацию работы «телефона доверия», которые: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а) фиксируют на бумажном носителе текст сообщения;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 б) регистрируют сообщение в Журнале;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в) при наличии в сообщении информации о фактах, указанных в пункте 5 настоящего Положения, докладывают о них не позднее 1 рабочего дня со дня регистрации сообщения руководителю филиала;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г) анализируют и обобщают сообщения, поступившие по «телефону доверия», в целях разработки и реализации антикоррупционных мероприятий в Филиале. 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14. На основании имеющейся информации руководитель филиала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15. Работники Филиала,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 </w:t>
      </w:r>
    </w:p>
    <w:p>
      <w:pPr>
        <w:ind w:firstLine="567"/>
        <w:spacing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ind w:firstLine="567"/>
        <w:spacing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 xml:space="preserve">к Положению о «телефоне доверия» по </w:t>
      </w:r>
    </w:p>
    <w:p>
      <w:pPr>
        <w:ind w:firstLine="567"/>
        <w:spacing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вопросам противодействия коррупции в Филиале</w:t>
      </w:r>
    </w:p>
    <w:p>
      <w:pPr>
        <w:ind w:firstLine="567"/>
        <w:spacing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="567"/>
        <w:spacing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Журнал регистрации обращений граждан и организаций по «телефону доверия» по вопросам противодействия коррупции в </w:t>
      </w:r>
      <w:r>
        <w:rPr>
          <w:rFonts w:eastAsia="Calibri"/>
          <w:b/>
          <w:bCs/>
          <w:sz w:val="28"/>
          <w:szCs w:val="28"/>
        </w:rPr>
        <w:t xml:space="preserve"> филиале ГРДНТ им. </w:t>
      </w:r>
      <w:r>
        <w:rPr>
          <w:rFonts w:eastAsia="Calibri"/>
          <w:b/>
          <w:bCs/>
          <w:sz w:val="28"/>
          <w:szCs w:val="28"/>
        </w:rPr>
      </w:r>
    </w:p>
    <w:p>
      <w:pPr>
        <w:pStyle w:val="para6"/>
        <w:spacing/>
        <w:jc w:val="center"/>
        <w:suppressAutoHyphens/>
        <w:hyphenationLines w:val="0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В.Д. Поленова «ФУКЦ РФ»</w:t>
      </w:r>
    </w:p>
    <w:p>
      <w:pPr>
        <w:ind w:firstLine="567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Grid"/>
        <w:name w:val="Таблица1"/>
        <w:tabOrder w:val="0"/>
        <w:jc w:val="left"/>
        <w:tblInd w:w="0" w:type="dxa"/>
        <w:tblW w:w="9600" w:type="dxa"/>
        <w:tblLook w:val="04A0" w:firstRow="1" w:lastRow="0" w:firstColumn="1" w:lastColumn="0" w:noHBand="0" w:noVBand="1"/>
      </w:tblPr>
      <w:tblGrid>
        <w:gridCol w:w="848"/>
        <w:gridCol w:w="1378"/>
        <w:gridCol w:w="2034"/>
        <w:gridCol w:w="2140"/>
        <w:gridCol w:w="1600"/>
        <w:gridCol w:w="1600"/>
      </w:tblGrid>
      <w:tr>
        <w:trPr>
          <w:tblHeader w:val="0"/>
          <w:cantSplit w:val="0"/>
          <w:trHeight w:val="0" w:hRule="auto"/>
        </w:trPr>
        <w:tc>
          <w:tcPr>
            <w:tcW w:w="848" w:type="dxa"/>
            <w:shd w:val="none"/>
            <w:tmTcPr id="1734083077" protected="0"/>
          </w:tcPr>
          <w:p>
            <w:pPr>
              <w:ind w:firstLine="567"/>
              <w: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1378" w:type="dxa"/>
            <w:shd w:val="none"/>
            <w:tmTcPr id="1734083077" protected="0"/>
          </w:tcPr>
          <w:p>
            <w:pPr>
              <w:ind w:firstLine="567"/>
              <w: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Дата (число, месяц, год) и время (час, мин.) </w:t>
            </w:r>
          </w:p>
        </w:tc>
        <w:tc>
          <w:tcPr>
            <w:tcW w:w="2034" w:type="dxa"/>
            <w:shd w:val="none"/>
            <w:tmTcPr id="1734083077" protected="0"/>
          </w:tcPr>
          <w:p>
            <w:pPr>
              <w:ind w:firstLine="567"/>
              <w: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Ф.И.О., адрес, телефон абонента</w:t>
            </w:r>
          </w:p>
        </w:tc>
        <w:tc>
          <w:tcPr>
            <w:tcW w:w="2140" w:type="dxa"/>
            <w:shd w:val="none"/>
            <w:tmTcPr id="1734083077" protected="0"/>
          </w:tcPr>
          <w:p>
            <w:pPr>
              <w:ind w:firstLine="567"/>
              <w: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содержание обращения </w:t>
            </w:r>
          </w:p>
        </w:tc>
        <w:tc>
          <w:tcPr>
            <w:tcW w:w="1600" w:type="dxa"/>
            <w:shd w:val="none"/>
            <w:tmTcPr id="1734083077" protected="0"/>
          </w:tcPr>
          <w:p>
            <w:pPr>
              <w:ind w:firstLine="567"/>
              <w: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сотрудника зарегистрировавшего обращение, подпись</w:t>
            </w:r>
          </w:p>
        </w:tc>
        <w:tc>
          <w:tcPr>
            <w:tcW w:w="1600" w:type="dxa"/>
            <w:shd w:val="none"/>
            <w:tmTcPr id="1734083077" protected="0"/>
          </w:tcPr>
          <w:p>
            <w:pPr>
              <w: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обращения, куда направлено (исх. №, дата)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8" w:type="dxa"/>
            <w:shd w:val="none"/>
            <w:tmTcPr id="1734083077" protected="0"/>
          </w:tcPr>
          <w:p>
            <w:pPr/>
            <w:r/>
          </w:p>
        </w:tc>
        <w:tc>
          <w:tcPr>
            <w:tcW w:w="1378" w:type="dxa"/>
            <w:shd w:val="none"/>
            <w:tmTcPr id="1734083077" protected="0"/>
          </w:tcPr>
          <w:p>
            <w:pPr/>
            <w:r/>
          </w:p>
        </w:tc>
        <w:tc>
          <w:tcPr>
            <w:tcW w:w="2034" w:type="dxa"/>
            <w:shd w:val="none"/>
            <w:tmTcPr id="1734083077" protected="0"/>
          </w:tcPr>
          <w:p>
            <w:pPr/>
            <w:r/>
          </w:p>
        </w:tc>
        <w:tc>
          <w:tcPr>
            <w:tcW w:w="2140" w:type="dxa"/>
            <w:shd w:val="none"/>
            <w:tmTcPr id="1734083077" protected="0"/>
          </w:tcPr>
          <w:p>
            <w:pPr/>
            <w:r/>
          </w:p>
        </w:tc>
        <w:tc>
          <w:tcPr>
            <w:tcW w:w="1600" w:type="dxa"/>
            <w:shd w:val="none"/>
            <w:tmTcPr id="1734083077" protected="0"/>
          </w:tcPr>
          <w:p>
            <w:pPr/>
            <w:r/>
          </w:p>
        </w:tc>
        <w:tc>
          <w:tcPr>
            <w:tcW w:w="1600" w:type="dxa"/>
            <w:shd w:val="none"/>
            <w:tmTcPr id="173408307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48" w:type="dxa"/>
            <w:shd w:val="none"/>
            <w:tmTcPr id="1734083077" protected="0"/>
          </w:tcPr>
          <w:p>
            <w:pPr/>
            <w:r/>
          </w:p>
        </w:tc>
        <w:tc>
          <w:tcPr>
            <w:tcW w:w="1378" w:type="dxa"/>
            <w:shd w:val="none"/>
            <w:tmTcPr id="1734083077" protected="0"/>
          </w:tcPr>
          <w:p>
            <w:pPr/>
            <w:r/>
          </w:p>
        </w:tc>
        <w:tc>
          <w:tcPr>
            <w:tcW w:w="2034" w:type="dxa"/>
            <w:shd w:val="none"/>
            <w:tmTcPr id="1734083077" protected="0"/>
          </w:tcPr>
          <w:p>
            <w:pPr/>
            <w:r/>
          </w:p>
        </w:tc>
        <w:tc>
          <w:tcPr>
            <w:tcW w:w="2140" w:type="dxa"/>
            <w:shd w:val="none"/>
            <w:tmTcPr id="1734083077" protected="0"/>
          </w:tcPr>
          <w:p>
            <w:pPr/>
            <w:r/>
          </w:p>
        </w:tc>
        <w:tc>
          <w:tcPr>
            <w:tcW w:w="1600" w:type="dxa"/>
            <w:shd w:val="none"/>
            <w:tmTcPr id="1734083077" protected="0"/>
          </w:tcPr>
          <w:p>
            <w:pPr/>
            <w:r/>
          </w:p>
        </w:tc>
        <w:tc>
          <w:tcPr>
            <w:tcW w:w="1600" w:type="dxa"/>
            <w:shd w:val="none"/>
            <w:tmTcPr id="173408307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48" w:type="dxa"/>
            <w:shd w:val="none"/>
            <w:tmTcPr id="1734083077" protected="0"/>
          </w:tcPr>
          <w:p>
            <w:pPr/>
            <w:r/>
          </w:p>
        </w:tc>
        <w:tc>
          <w:tcPr>
            <w:tcW w:w="1378" w:type="dxa"/>
            <w:shd w:val="none"/>
            <w:tmTcPr id="1734083077" protected="0"/>
          </w:tcPr>
          <w:p>
            <w:pPr/>
            <w:r/>
          </w:p>
        </w:tc>
        <w:tc>
          <w:tcPr>
            <w:tcW w:w="2034" w:type="dxa"/>
            <w:shd w:val="none"/>
            <w:tmTcPr id="1734083077" protected="0"/>
          </w:tcPr>
          <w:p>
            <w:pPr/>
            <w:r/>
          </w:p>
        </w:tc>
        <w:tc>
          <w:tcPr>
            <w:tcW w:w="2140" w:type="dxa"/>
            <w:shd w:val="none"/>
            <w:tmTcPr id="1734083077" protected="0"/>
          </w:tcPr>
          <w:p>
            <w:pPr/>
            <w:r/>
          </w:p>
        </w:tc>
        <w:tc>
          <w:tcPr>
            <w:tcW w:w="1600" w:type="dxa"/>
            <w:shd w:val="none"/>
            <w:tmTcPr id="1734083077" protected="0"/>
          </w:tcPr>
          <w:p>
            <w:pPr/>
            <w:r/>
          </w:p>
        </w:tc>
        <w:tc>
          <w:tcPr>
            <w:tcW w:w="1600" w:type="dxa"/>
            <w:shd w:val="none"/>
            <w:tmTcPr id="1734083077" protected="0"/>
          </w:tcPr>
          <w:p>
            <w:pPr/>
            <w:r/>
          </w:p>
        </w:tc>
      </w:tr>
    </w:tbl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567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Lucida Sans Unicode">
    <w:panose1 w:val="020B0602030504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4"/>
      <w:tmLastPosIdx w:val="230"/>
    </w:tmLastPosCaret>
    <w:tmLastPosAnchor>
      <w:tmLastPosPgfIdx w:val="0"/>
      <w:tmLastPosIdx w:val="0"/>
    </w:tmLastPosAnchor>
    <w:tmLastPosTblRect w:left="0" w:top="0" w:right="0" w:bottom="0"/>
  </w:tmLastPos>
  <w:tmAppRevision w:date="1734083077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rmal"/>
    <w:qFormat/>
    <w:rPr>
      <w:rFonts w:ascii="Calibri" w:hAnsi="Calibri" w:eastAsia="SimSun" w:cs="Calibri"/>
      <w:kern w:val="1"/>
      <w:sz w:val="22"/>
      <w:lang w:val="ru-ru" w:eastAsia="ru-ru" w:bidi="ar-sa"/>
    </w:rPr>
  </w:style>
  <w:style w:type="paragraph" w:styleId="para5">
    <w:name w:val="No Spacing"/>
    <w:qFormat/>
    <w:pPr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alibri" w:hAnsi="Calibri" w:eastAsia="Calibri" w:cs="Calibri"/>
      <w:kern w:val="1"/>
      <w:sz w:val="22"/>
      <w:szCs w:val="22"/>
      <w:lang w:val="ru-ru" w:eastAsia="zh-cn" w:bidi="ar-sa"/>
    </w:rPr>
  </w:style>
  <w:style w:type="paragraph" w:styleId="para6" w:customStyle="1">
    <w:name w:val="No Spacing*"/>
    <w:qFormat/>
    <w:pPr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Calibri"/>
      <w:kern w:val="1"/>
      <w:sz w:val="24"/>
      <w:szCs w:val="24"/>
      <w:lang w:val="ru-ru" w:eastAsia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rmal"/>
    <w:qFormat/>
    <w:rPr>
      <w:rFonts w:ascii="Calibri" w:hAnsi="Calibri" w:eastAsia="SimSun" w:cs="Calibri"/>
      <w:kern w:val="1"/>
      <w:sz w:val="22"/>
      <w:lang w:val="ru-ru" w:eastAsia="ru-ru" w:bidi="ar-sa"/>
    </w:rPr>
  </w:style>
  <w:style w:type="paragraph" w:styleId="para5">
    <w:name w:val="No Spacing"/>
    <w:qFormat/>
    <w:pPr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alibri" w:hAnsi="Calibri" w:eastAsia="Calibri" w:cs="Calibri"/>
      <w:kern w:val="1"/>
      <w:sz w:val="22"/>
      <w:szCs w:val="22"/>
      <w:lang w:val="ru-ru" w:eastAsia="zh-cn" w:bidi="ar-sa"/>
    </w:rPr>
  </w:style>
  <w:style w:type="paragraph" w:styleId="para6" w:customStyle="1">
    <w:name w:val="No Spacing*"/>
    <w:qFormat/>
    <w:pPr>
      <w:widowControl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Calibri"/>
      <w:kern w:val="1"/>
      <w:sz w:val="24"/>
      <w:szCs w:val="24"/>
      <w:lang w:val="ru-ru" w:eastAsia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2024-05-30T08:20:00Z</dcterms:created>
  <dcterms:modified xsi:type="dcterms:W3CDTF">2024-12-13T09:44:37Z</dcterms:modified>
</cp:coreProperties>
</file>