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NormalTable"/>
        <w:name w:val="Таблица1"/>
        <w:tabOrder w:val="0"/>
        <w:jc w:val="left"/>
        <w:tblInd w:w="0" w:type="dxa"/>
        <w:tblW w:w="9464" w:type="dxa"/>
        <w:tblLook w:val="01E0" w:firstRow="1" w:lastRow="1" w:firstColumn="1" w:lastColumn="1" w:noHBand="0" w:noVBand="0"/>
      </w:tblPr>
      <w:tblGrid>
        <w:gridCol w:w="5211"/>
        <w:gridCol w:w="4253"/>
      </w:tblGrid>
      <w:tr>
        <w:trPr>
          <w:tblHeader w:val="0"/>
          <w:cantSplit w:val="0"/>
          <w:trHeight w:val="2229" w:hRule="atLeast"/>
        </w:trPr>
        <w:tc>
          <w:tcPr>
            <w:tcW w:w="5211" w:type="dxa"/>
            <w:shd w:val="none"/>
            <w:tmTcPr id="1719914683" protected="0"/>
          </w:tcPr>
          <w:p>
            <w:pPr>
              <w:pStyle w:val="para1"/>
              <w:spacing/>
              <w:jc w:val="both"/>
              <w:outlineLvl w:val="0"/>
            </w:pPr>
            <w:r/>
          </w:p>
          <w:p>
            <w:pPr>
              <w:pStyle w:val="para1"/>
              <w:spacing/>
              <w:jc w:val="both"/>
              <w:outlineLvl w:val="0"/>
            </w:pPr>
            <w:r/>
          </w:p>
        </w:tc>
        <w:tc>
          <w:tcPr>
            <w:tcW w:w="4253" w:type="dxa"/>
            <w:shd w:val="none"/>
            <w:tmTcPr id="1719914683" protected="0"/>
          </w:tcPr>
          <w:p>
            <w:pPr>
              <w:pStyle w:val="para1"/>
              <w:spacing w:line="276" w:lineRule="auto"/>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Приложение 1</w:t>
            </w:r>
          </w:p>
          <w:p>
            <w:pPr>
              <w:pStyle w:val="para1"/>
              <w:spacing w:line="276" w:lineRule="auto"/>
              <w:outlineLvl w:val="0"/>
              <w:rPr>
                <w:rFonts w:ascii="Times New Roman" w:hAnsi="Times New Roman" w:cs="Times New Roman"/>
                <w:sz w:val="28"/>
                <w:szCs w:val="28"/>
                <w:lang w:eastAsia="en-us"/>
              </w:rPr>
            </w:pPr>
            <w:r>
              <w:rPr>
                <w:rFonts w:ascii="Times New Roman" w:hAnsi="Times New Roman" w:cs="Times New Roman"/>
                <w:sz w:val="28"/>
                <w:szCs w:val="28"/>
                <w:lang w:eastAsia="en-us"/>
              </w:rPr>
            </w:r>
          </w:p>
          <w:p>
            <w:pPr>
              <w:pStyle w:val="para1"/>
              <w:spacing w:line="276" w:lineRule="auto"/>
              <w:outlineLvl w:val="0"/>
              <w:rPr>
                <w:rFonts w:ascii="Times New Roman" w:hAnsi="Times New Roman" w:cs="Times New Roman"/>
                <w:b/>
                <w:sz w:val="28"/>
                <w:szCs w:val="28"/>
                <w:lang w:eastAsia="en-us"/>
              </w:rPr>
            </w:pPr>
            <w:r>
              <w:rPr>
                <w:rFonts w:ascii="Times New Roman" w:hAnsi="Times New Roman" w:cs="Times New Roman"/>
                <w:b/>
                <w:sz w:val="28"/>
                <w:szCs w:val="28"/>
                <w:lang w:eastAsia="en-us"/>
              </w:rPr>
              <w:t>УТВЕРЖДЕНО</w:t>
            </w:r>
          </w:p>
          <w:p>
            <w:pPr>
              <w:pStyle w:val="para1"/>
              <w:spacing w:line="276" w:lineRule="auto"/>
              <w:outlineLvl w:val="0"/>
              <w:rPr>
                <w:rFonts w:ascii="Times New Roman" w:hAnsi="Times New Roman" w:cs="Times New Roman"/>
                <w:sz w:val="28"/>
                <w:szCs w:val="28"/>
                <w:lang w:eastAsia="en-us"/>
              </w:rPr>
            </w:pPr>
            <w:r>
              <w:rPr>
                <w:rFonts w:ascii="Times New Roman" w:hAnsi="Times New Roman" w:cs="Times New Roman"/>
                <w:sz w:val="28"/>
                <w:szCs w:val="28"/>
                <w:lang w:eastAsia="en-us"/>
              </w:rPr>
              <w:t>приказом руководителя филиала ГРДНТ им. В.Д. Поленова «ФУКЦ РФ»</w:t>
            </w:r>
          </w:p>
          <w:p>
            <w:pPr>
              <w:pStyle w:val="para1"/>
              <w:spacing w:line="276" w:lineRule="auto"/>
              <w:outlineLvl w:val="0"/>
              <w:rPr>
                <w:rFonts w:ascii="Times New Roman" w:hAnsi="Times New Roman" w:cs="Times New Roman"/>
                <w:sz w:val="28"/>
                <w:szCs w:val="28"/>
                <w:lang w:eastAsia="en-us"/>
              </w:rPr>
            </w:pPr>
            <w:r>
              <w:rPr>
                <w:rFonts w:ascii="Times New Roman" w:hAnsi="Times New Roman" w:cs="Times New Roman"/>
                <w:sz w:val="28"/>
                <w:szCs w:val="28"/>
                <w:lang w:eastAsia="en-us"/>
              </w:rPr>
              <w:t>от 17.06.2024 № 44/01-08</w:t>
            </w:r>
          </w:p>
          <w:p>
            <w:pPr>
              <w:pStyle w:val="para1"/>
              <w:spacing w:line="276" w:lineRule="auto"/>
              <w:outlineLvl w:val="0"/>
              <w:rPr>
                <w:sz w:val="24"/>
                <w:szCs w:val="24"/>
              </w:rPr>
            </w:pPr>
            <w:r>
              <w:rPr>
                <w:sz w:val="24"/>
                <w:szCs w:val="24"/>
              </w:rPr>
            </w:r>
          </w:p>
        </w:tc>
      </w:tr>
    </w:tbl>
    <w:p>
      <w:pPr>
        <w:pStyle w:val="para1"/>
        <w:spacing/>
        <w:jc w:val="both"/>
        <w:outlineLvl w:val="0"/>
        <w:rPr>
          <w:rFonts w:ascii="Times New Roman" w:hAnsi="Times New Roman" w:cs="Times New Roman"/>
          <w:sz w:val="28"/>
          <w:szCs w:val="28"/>
        </w:rPr>
      </w:pPr>
      <w:r>
        <w:rPr>
          <w:rFonts w:ascii="Times New Roman" w:hAnsi="Times New Roman" w:cs="Times New Roman"/>
          <w:sz w:val="28"/>
          <w:szCs w:val="28"/>
        </w:rPr>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pPr>
        <w:pStyle w:val="para1"/>
        <w:spacing/>
        <w:jc w:val="center"/>
        <w:rPr>
          <w:rFonts w:ascii="Times New Roman" w:hAnsi="Times New Roman" w:cs="Times New Roman"/>
          <w:b/>
          <w:bCs/>
          <w:kern w:val="1"/>
          <w:sz w:val="28"/>
          <w:szCs w:val="28"/>
        </w:rPr>
      </w:pPr>
      <w:r>
        <w:rPr>
          <w:rFonts w:ascii="Times New Roman" w:hAnsi="Times New Roman" w:cs="Times New Roman"/>
          <w:b/>
          <w:bCs/>
          <w:sz w:val="28"/>
          <w:szCs w:val="28"/>
        </w:rPr>
        <w:t xml:space="preserve">об антикоррупционной политике филиала </w:t>
      </w:r>
      <w:r>
        <w:rPr>
          <w:rFonts w:ascii="Times New Roman" w:hAnsi="Times New Roman" w:cs="Times New Roman"/>
          <w:b/>
          <w:bCs/>
          <w:kern w:val="1"/>
          <w:sz w:val="28"/>
          <w:szCs w:val="28"/>
        </w:rPr>
        <w:t>ГРДНТ им. В.Д. Поленова</w:t>
      </w:r>
      <w:r>
        <w:rPr>
          <w:rFonts w:ascii="Times New Roman" w:hAnsi="Times New Roman" w:cs="Times New Roman"/>
          <w:b/>
          <w:bCs/>
          <w:kern w:val="1"/>
          <w:sz w:val="28"/>
          <w:szCs w:val="28"/>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8"/>
          <w:szCs w:val="28"/>
          <w:lang w:eastAsia="ru-ru"/>
        </w:rPr>
      </w:pPr>
      <w:r>
        <w:rPr>
          <w:rFonts w:ascii="Times New Roman" w:hAnsi="Times New Roman" w:eastAsia="Times New Roman" w:cs="Times New Roman"/>
          <w:b/>
          <w:bCs/>
          <w:kern w:val="1"/>
          <w:sz w:val="28"/>
          <w:szCs w:val="28"/>
          <w:lang w:eastAsia="ru-ru"/>
        </w:rPr>
        <w:t>«Финно-угорский культурный центр Российской Федерации</w:t>
      </w:r>
      <w:r>
        <w:rPr>
          <w:rFonts w:ascii="Times New Roman" w:hAnsi="Times New Roman" w:eastAsia="Times New Roman" w:cs="Times New Roman"/>
          <w:kern w:val="1"/>
          <w:sz w:val="28"/>
          <w:szCs w:val="28"/>
          <w:lang w:eastAsia="ru-ru"/>
        </w:rPr>
        <w:t>»</w:t>
      </w:r>
      <w:r>
        <w:rPr>
          <w:rFonts w:ascii="Times New Roman" w:hAnsi="Times New Roman" w:eastAsia="Times New Roman" w:cs="Times New Roman"/>
          <w:kern w:val="1"/>
          <w:sz w:val="28"/>
          <w:szCs w:val="28"/>
          <w:lang w:eastAsia="ru-ru"/>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rPr>
          <w:rFonts w:ascii="Times New Roman" w:hAnsi="Times New Roman" w:cs="Times New Roman"/>
          <w:b/>
          <w:bCs/>
          <w:sz w:val="28"/>
          <w:szCs w:val="28"/>
        </w:rPr>
      </w:pPr>
      <w:r>
        <w:rPr>
          <w:rFonts w:ascii="Times New Roman" w:hAnsi="Times New Roman" w:cs="Times New Roman"/>
          <w:b/>
          <w:bCs/>
          <w:sz w:val="28"/>
          <w:szCs w:val="28"/>
        </w:rPr>
      </w:r>
    </w:p>
    <w:p>
      <w:pPr>
        <w:pStyle w:val="para1"/>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t>г. Сыктывкар, 2024 г.</w:t>
      </w:r>
    </w:p>
    <w:p>
      <w:pPr>
        <w:pStyle w:val="para1"/>
        <w:spacing/>
        <w:jc w:val="center"/>
        <w:rPr>
          <w:rFonts w:ascii="Times New Roman" w:hAnsi="Times New Roman" w:cs="Times New Roman"/>
          <w:b/>
          <w:bCs/>
          <w:sz w:val="28"/>
          <w:szCs w:val="28"/>
        </w:rPr>
      </w:pPr>
      <w:r>
        <w:rPr>
          <w:rFonts w:ascii="Times New Roman" w:hAnsi="Times New Roman" w:cs="Times New Roman"/>
          <w:b/>
          <w:bCs/>
          <w:sz w:val="28"/>
          <w:szCs w:val="28"/>
        </w:rPr>
      </w:r>
    </w:p>
    <w:p>
      <w:pPr>
        <w:pStyle w:val="para1"/>
        <w:spacing/>
        <w:jc w:val="center"/>
        <w:rPr>
          <w:rFonts w:ascii="Times New Roman" w:hAnsi="Times New Roman" w:cs="Times New Roman"/>
          <w:sz w:val="28"/>
          <w:szCs w:val="28"/>
        </w:rPr>
      </w:pPr>
      <w:r>
        <w:br w:type="page"/>
      </w: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540"/>
        <w:spacing w:after="0" w:line="240" w:lineRule="auto"/>
        <w:jc w:val="both"/>
        <w:rPr>
          <w:rFonts w:ascii="Times New Roman" w:hAnsi="Times New Roman" w:cs="Times New Roman"/>
          <w:color w:val="000000"/>
          <w:sz w:val="28"/>
          <w:szCs w:val="28"/>
        </w:rPr>
      </w:pPr>
      <w:r>
        <w:rPr>
          <w:rFonts w:ascii="Times New Roman" w:hAnsi="Times New Roman" w:eastAsia="Times New Roman" w:cs="Times New Roman"/>
          <w:kern w:val="1"/>
          <w:sz w:val="28"/>
          <w:szCs w:val="28"/>
          <w:lang w:eastAsia="ru-ru"/>
        </w:rPr>
        <w:t>Филиал ГРДНТ им. В.Д. Поленова «Финно-угорский культурный центр Российской Федерации» (далее по тексту – Филиал)</w:t>
      </w:r>
      <w:r>
        <w:rPr>
          <w:rFonts w:ascii="Times New Roman" w:hAnsi="Times New Roman" w:cs="Times New Roman"/>
          <w:color w:val="000000"/>
          <w:sz w:val="28"/>
          <w:szCs w:val="28"/>
        </w:rPr>
        <w:t>, подведомственн</w:t>
      </w:r>
      <w:r>
        <w:rPr>
          <w:rFonts w:ascii="Times New Roman" w:hAnsi="Times New Roman" w:cs="Times New Roman"/>
          <w:sz w:val="28"/>
          <w:szCs w:val="28"/>
        </w:rPr>
        <w:t>ый Федеральноому государственному бюджетному учреждению культуры «Государственный Российский Дом народного творчества имени В.Д. Поленова» (далее – ГРДНТ им. В.Д. Поленова)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соблюдает </w:t>
      </w:r>
      <w:r>
        <w:rPr>
          <w:rFonts w:ascii="Times New Roman" w:hAnsi="Times New Roman" w:cs="Times New Roman"/>
          <w:color w:val="000000"/>
          <w:sz w:val="28"/>
          <w:szCs w:val="28"/>
        </w:rPr>
        <w:t>принцип</w:t>
      </w:r>
      <w:r>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антикоррупционного законодательства и этического делового поведения</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Антикоррупционная политика</w:t>
      </w:r>
      <w:r>
        <w:rPr>
          <w:rFonts w:ascii="Times New Roman" w:hAnsi="Times New Roman" w:cs="Times New Roman"/>
          <w:color w:val="000000"/>
          <w:sz w:val="28"/>
          <w:szCs w:val="28"/>
        </w:rPr>
        <w:t xml:space="preserve"> направлена на профилактику коррупции:  на предупреждени</w:t>
      </w:r>
      <w:r>
        <w:rPr>
          <w:rFonts w:ascii="Times New Roman" w:hAnsi="Times New Roman" w:cs="Times New Roman"/>
          <w:color w:val="000000"/>
          <w:sz w:val="28"/>
          <w:szCs w:val="28"/>
        </w:rPr>
        <w:t>е</w:t>
      </w:r>
      <w:r>
        <w:rPr>
          <w:rFonts w:ascii="Times New Roman" w:hAnsi="Times New Roman" w:cs="Times New Roman"/>
          <w:highlight w:val="yellow"/>
          <w:color w:val="000000"/>
          <w:sz w:val="28"/>
          <w:szCs w:val="28"/>
        </w:rPr>
        <w:t xml:space="preserve"> </w:t>
      </w:r>
      <w:r>
        <w:rPr>
          <w:rFonts w:ascii="Times New Roman" w:hAnsi="Times New Roman" w:cs="Times New Roman"/>
          <w:color w:val="000000"/>
          <w:sz w:val="28"/>
          <w:szCs w:val="28"/>
        </w:rPr>
        <w:t xml:space="preserve">коррупции  в </w:t>
      </w:r>
      <w:r>
        <w:rPr>
          <w:rFonts w:ascii="Times New Roman" w:hAnsi="Times New Roman" w:cs="Times New Roman"/>
          <w:sz w:val="28"/>
          <w:szCs w:val="28"/>
        </w:rPr>
        <w:t>Филиале</w:t>
      </w:r>
      <w:r>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том числе </w:t>
      </w:r>
      <w:r>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выявлени</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и последующе</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устранени</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ее </w:t>
      </w:r>
      <w:r>
        <w:rPr>
          <w:rFonts w:ascii="Times New Roman" w:hAnsi="Times New Roman" w:cs="Times New Roman"/>
          <w:color w:val="000000"/>
          <w:sz w:val="28"/>
          <w:szCs w:val="28"/>
        </w:rPr>
        <w:t>причин.</w:t>
      </w:r>
      <w:r>
        <w:rPr>
          <w:rFonts w:ascii="Times New Roman" w:hAnsi="Times New Roman" w:cs="Times New Roman"/>
          <w:color w:val="000000"/>
          <w:sz w:val="28"/>
          <w:szCs w:val="28"/>
        </w:rPr>
      </w:r>
    </w:p>
    <w:p>
      <w:pPr>
        <w:ind w:firstLine="54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противодействия коррупции составляют </w:t>
      </w:r>
      <w:hyperlink r:id="rId7" w:history="1">
        <w:r>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Правительства Российской Федерации и федеральных органов государственной власти,  Законы Республики Коми, Указы и Распоряжения Главы Республики Коми, Постановления Правительства Республики Коми.</w:t>
      </w:r>
    </w:p>
    <w:p>
      <w:pPr>
        <w:ind w:firstLine="54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реализуется в рамках исполнения Федерального </w:t>
      </w:r>
      <w:hyperlink r:id="rId8"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25 декабря 2008 г. № 273-ФЗ «О противодействии коррупции».</w:t>
      </w:r>
    </w:p>
    <w:p>
      <w:pPr>
        <w:ind w:firstLine="54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Антикоррупционная политика декларирует неприятие Филиалом коррупции в любых ее проявлениях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Филиала,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как в повседневной деятельности, так и при взаимоотношениях с юридическими и физическими лицами. </w:t>
      </w:r>
    </w:p>
    <w:p>
      <w:pPr>
        <w:pStyle w:val="para5"/>
        <w:ind w:firstLine="540"/>
        <w:spacing/>
        <w:jc w:val="both"/>
        <w:rPr>
          <w:rFonts w:ascii="Times New Roman" w:hAnsi="Times New Roman" w:cs="Times New Roman"/>
          <w:sz w:val="28"/>
          <w:szCs w:val="28"/>
        </w:rPr>
      </w:pPr>
      <w:r>
        <w:rPr>
          <w:rFonts w:ascii="Times New Roman" w:hAnsi="Times New Roman" w:cs="Times New Roman"/>
          <w:sz w:val="28"/>
          <w:szCs w:val="28"/>
        </w:rPr>
        <w:t xml:space="preserve">Работникам Филиала, а также любой третьей стороне, действующей от имени и/или в интересах Филиала запрещено: </w:t>
      </w:r>
    </w:p>
    <w:p>
      <w:pPr>
        <w:ind w:firstLine="708"/>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предлагать или обещать взятку лично или через посредника (в том числе, когда взятка по указанию должностного лица передается иному физическому или юридическому лицу);  </w:t>
      </w:r>
    </w:p>
    <w:p>
      <w:pPr>
        <w:ind w:firstLine="708"/>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получать лично или через посредника взятки в виде денег, ценных бумаг, имущества и услуг не</w:t>
      </w:r>
      <w:hyperlink r:id="rId9" w:history="1">
        <w:r>
          <w:rPr>
            <w:rFonts w:ascii="Times New Roman" w:hAnsi="Times New Roman" w:cs="Times New Roman"/>
            <w:color w:val="000000"/>
            <w:sz w:val="28"/>
            <w:szCs w:val="28"/>
          </w:rPr>
          <w:t>имущественного характера</w:t>
        </w:r>
      </w:hyperlink>
      <w:r>
        <w:rPr>
          <w:rFonts w:ascii="Times New Roman" w:hAnsi="Times New Roman" w:cs="Times New Roman"/>
          <w:color w:val="000000"/>
          <w:sz w:val="28"/>
          <w:szCs w:val="28"/>
        </w:rPr>
        <w:t xml:space="preserve">, а также любую финансовую или иную выгоду или преимущество, если получение таких платежей, выгод или преимуществ само по себе является ненадлежащим выполнением должностных или иных предусмотренных законом обязанностей или являются вознаграждением за ненадлежащее выполнение таких обязанностей; </w:t>
      </w:r>
    </w:p>
    <w:p>
      <w:pPr>
        <w:pStyle w:val="para5"/>
        <w:ind w:firstLine="708"/>
        <w:spacing w:after="32"/>
        <w:jc w:val="both"/>
        <w:rPr>
          <w:rFonts w:ascii="Times New Roman" w:hAnsi="Times New Roman" w:cs="Times New Roman"/>
          <w:sz w:val="28"/>
          <w:szCs w:val="28"/>
        </w:rPr>
      </w:pPr>
      <w:r>
        <w:rPr>
          <w:rFonts w:ascii="Times New Roman" w:hAnsi="Times New Roman" w:cs="Times New Roman"/>
          <w:sz w:val="28"/>
          <w:szCs w:val="28"/>
        </w:rPr>
        <w:t xml:space="preserve">- осуществлять посредничество во взяточничестве, коммерческом подкупе, подкупе лица, оказывающего публичные услуги или предоставлении/получении неправомерной выгоды;  </w:t>
      </w:r>
    </w:p>
    <w:p>
      <w:pPr>
        <w:pStyle w:val="para5"/>
        <w:ind w:firstLine="708"/>
        <w:spacing/>
        <w:jc w:val="both"/>
        <w:rPr>
          <w:rFonts w:ascii="Times New Roman" w:hAnsi="Times New Roman" w:cs="Times New Roman"/>
          <w:sz w:val="28"/>
          <w:szCs w:val="28"/>
        </w:rPr>
      </w:pPr>
      <w:r>
        <w:rPr>
          <w:rFonts w:ascii="Times New Roman" w:hAnsi="Times New Roman" w:cs="Times New Roman"/>
          <w:sz w:val="28"/>
          <w:szCs w:val="28"/>
        </w:rPr>
        <w:t xml:space="preserve">-  использовать служебное положение и полномочия с целью получения неправомерной выгоды для себя или других лиц, в том числе использовать любое имущество в личных интересах. </w:t>
      </w:r>
    </w:p>
    <w:p>
      <w:pPr>
        <w:pStyle w:val="para5"/>
        <w:ind w:firstLine="708"/>
        <w:spacing/>
        <w:jc w:val="both"/>
        <w:rPr>
          <w:rFonts w:ascii="Times New Roman" w:hAnsi="Times New Roman" w:cs="Times New Roman"/>
          <w:sz w:val="28"/>
          <w:szCs w:val="28"/>
        </w:rPr>
      </w:pPr>
      <w:r>
        <w:rPr>
          <w:rFonts w:ascii="Times New Roman" w:hAnsi="Times New Roman" w:cs="Times New Roman"/>
          <w:sz w:val="28"/>
          <w:szCs w:val="28"/>
        </w:rPr>
        <w:t xml:space="preserve">Работники Филиала, а также любая третья сторона, действующая от имени и/или в интересах Филиала, в связи с предотвращением и противодействием коррупции в своей деятельности обязаны: </w:t>
      </w:r>
    </w:p>
    <w:p>
      <w:pPr>
        <w:pStyle w:val="para5"/>
        <w:ind w:firstLine="708"/>
        <w:spacing/>
        <w:jc w:val="both"/>
        <w:rPr>
          <w:rFonts w:ascii="Times New Roman" w:hAnsi="Times New Roman" w:cs="Times New Roman"/>
          <w:sz w:val="28"/>
          <w:szCs w:val="28"/>
        </w:rPr>
      </w:pPr>
      <w:r>
        <w:rPr>
          <w:rFonts w:ascii="Times New Roman" w:hAnsi="Times New Roman" w:cs="Times New Roman"/>
          <w:sz w:val="28"/>
          <w:szCs w:val="28"/>
        </w:rPr>
        <w:t xml:space="preserve">- не совершать коррупционных правонарушений, связанных с деятельностью Филиала; </w:t>
      </w:r>
    </w:p>
    <w:p>
      <w:pPr>
        <w:pStyle w:val="para5"/>
        <w:ind w:firstLine="708"/>
        <w:spacing/>
        <w:jc w:val="both"/>
        <w:rPr>
          <w:rFonts w:ascii="Times New Roman" w:hAnsi="Times New Roman" w:cs="Times New Roman"/>
          <w:sz w:val="28"/>
          <w:szCs w:val="28"/>
        </w:rPr>
      </w:pPr>
      <w:r>
        <w:rPr>
          <w:rFonts w:ascii="Times New Roman" w:hAnsi="Times New Roman" w:cs="Times New Roman"/>
          <w:sz w:val="28"/>
          <w:szCs w:val="28"/>
        </w:rPr>
        <w:t xml:space="preserve">- воздерживаться от поведения, которое может быть расценено, как готовность совершить коррупционное правонарушение, связанное с деятельностью Филиала; </w:t>
      </w:r>
    </w:p>
    <w:p>
      <w:pPr>
        <w:pStyle w:val="para5"/>
        <w:ind w:firstLine="708"/>
        <w:spacing/>
        <w:jc w:val="both"/>
        <w:rPr>
          <w:rFonts w:ascii="Times New Roman" w:hAnsi="Times New Roman" w:cs="Times New Roman"/>
          <w:sz w:val="28"/>
          <w:szCs w:val="28"/>
        </w:rPr>
      </w:pPr>
      <w:r>
        <w:rPr>
          <w:rFonts w:ascii="Times New Roman" w:hAnsi="Times New Roman" w:cs="Times New Roman"/>
          <w:sz w:val="28"/>
          <w:szCs w:val="28"/>
        </w:rPr>
        <w:t xml:space="preserve">- информировать о случаях подстрекательства к совершению коррупционного правонарушения, связанного с деятельностью Филиала; </w:t>
      </w:r>
    </w:p>
    <w:p>
      <w:pPr>
        <w:pStyle w:val="para5"/>
        <w:ind w:firstLine="708"/>
        <w:spacing/>
        <w:jc w:val="both"/>
        <w:rPr>
          <w:rFonts w:ascii="Times New Roman" w:hAnsi="Times New Roman" w:cs="Times New Roman"/>
          <w:sz w:val="28"/>
          <w:szCs w:val="28"/>
        </w:rPr>
      </w:pPr>
      <w:r>
        <w:rPr>
          <w:rFonts w:ascii="Times New Roman" w:hAnsi="Times New Roman" w:cs="Times New Roman"/>
          <w:sz w:val="28"/>
          <w:szCs w:val="28"/>
        </w:rPr>
        <w:t xml:space="preserve">- информировать о случаях совершения коррупционных или связанных с коррупцией правонарушений другими работниками Филиала или другими лицами; </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безотлагательно информировать руководство о возникновении личной заинтересованности, которая приводит или может привести к конфликту интересов. </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Положения настоящей Антикоррупционной политики основываются на принципах противодействия коррупции: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признание, обеспечение и защита основных прав и свобод человека и гражданина;</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законность;</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публичность и открытость деятельности;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неотвратимость ответственности за совершение коррупционных правонарушений;</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приоритетное применение мер по предупреждению коррупции;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сотрудничество с институтами гражданского общества, правоохранительными органами,  организациями в зарубежных дружественных странах и физическими лицами.</w:t>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54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 придерживается государственного системного подхода к решению проблем коррупции, включающие антикоррупционное просвещение, устранение причин коррупционных правонарушений, создание специализированных органов в системе управления Филиала, ответственных за реализацию антикоррупционной политики, принятие мер по предотвращению и урегулированию конфликта интересов.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Антикоррупционная политика определяет мероприятия, направленные на профилактику и предупреждение коррупции, а также принципы и механизмы их реализации в целях:</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создания, эффективного механизма, препятствующего коррупционным действиям, и минимизации рисков вовлечения, его работников в коррупционную деятельность;</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воспитания правового и гражданского сознания работников путем формирования негативного отношения к коррупционным проявлениям и незаконному перераспределению доходов и других благ между работниками, а также воспитание навыков антикоррупционного поведения работников;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минимизации имущественного и репутационного ущерба путем пресечения коррупционных действий и наказания за них с применением общественных, административных и правоохранительных процедур.</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достижения поставленных целей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решает следующие задачи: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повышение открытости и прозрачности деятельности </w:t>
      </w:r>
      <w:r>
        <w:rPr>
          <w:rFonts w:ascii="Times New Roman" w:hAnsi="Times New Roman" w:cs="Times New Roman"/>
          <w:color w:val="000000"/>
          <w:sz w:val="28"/>
          <w:szCs w:val="28"/>
          <w:lang w:eastAsia="en-us"/>
        </w:rPr>
        <w:t>Филиала</w:t>
      </w:r>
      <w:r>
        <w:rPr>
          <w:rFonts w:ascii="Times New Roman" w:hAnsi="Times New Roman" w:cs="Times New Roman"/>
          <w:color w:val="000000"/>
          <w:sz w:val="28"/>
          <w:szCs w:val="28"/>
        </w:rPr>
        <w:t>;</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методологической базы для разработки внутренних документов, регламентирующих деятельность в области профилактики и противодействия коррупции, основанной на анализе причин и условий возникновения коррупционных рисков в процессе деятельности;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привлечение каждого работника к реализации мероприятий по предотвращению коррупции;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организация эффективного мониторинга коррупционных факторов и обеспечение действенности антикоррупционной политики в рамках системы антикоррупционного контроля и мониторинга </w:t>
      </w:r>
      <w:r>
        <w:rPr>
          <w:rFonts w:ascii="Times New Roman" w:hAnsi="Times New Roman" w:cs="Times New Roman"/>
          <w:sz w:val="28"/>
          <w:szCs w:val="28"/>
          <w:lang w:eastAsia="en-us"/>
        </w:rPr>
        <w:t>ГРДНТ им. В.Д. Поленова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Последовательная и планомерная реализация Антикоррупционной политики направлена на снижение коррупционных рисков.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Положения настоящей Антикоррупционной политики распространяются на всех работников вне зависимости от занимаемой должности.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Ключевыми принципами реализации Антикоррупционной политики являются:</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неприятие коррупции в любых формах и проявлениях.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содействует воспитанию правового и гражданского сознания работников путем формирования негативного отношения к коррупционным проявлениям. Руководящие работники выступают в качестве примера надлежащего этического поведения;</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2) эффективность мероприятий по противодействию коррупции. Создание эффективной системы противодействия коррупции, а также ее систематическому совершенствованию;</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3) текущий мониторинг и последующий контроль. Создание эффективной системы контроля и мониторинга коррупционных факторов и рисков;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проверка благонадежности контрагентов.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осуществляет проверку контрагентов в рамках осуществления закупочной деятельности в целях снижения коррупционных рисков и предотвращения вовлечения работников, вне зависимости от занимаемой должности, в коррупционную деятельность, а также в целях обеспечения добросовестной конкуренции;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5) открытость информации. Обеспечение доступности для граждан, юридических лиц, средств массовой информации и институтов гражданского общества к сведениям о своей деятельности, которые в соответствии с действующим законодательством Российской Федерации не являются сведениями ограниченного доступа.</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реализации принципа открытости информации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создает на своем официальном сайте подраздел по вопросам противодействия коррупции, который включает: документы по вопросам противодействия, информационные каналы связи, гарантирующие анонимность заявителя (телефон, электронная почта, онлайн-сервис, почтовый адрес для почтовых отправлений с пометкой «Противодействие коррупции»).</w:t>
      </w:r>
    </w:p>
    <w:p>
      <w:pPr>
        <w:pStyle w:val="para1"/>
        <w:ind w:firstLine="540"/>
        <w:spacing/>
        <w:jc w:val="both"/>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Антикоррупционную политику в </w:t>
      </w:r>
      <w:r>
        <w:rPr>
          <w:rFonts w:ascii="Times New Roman" w:hAnsi="Times New Roman" w:cs="Times New Roman"/>
          <w:color w:val="000000"/>
          <w:sz w:val="28"/>
          <w:szCs w:val="28"/>
          <w:lang w:eastAsia="en-us"/>
        </w:rPr>
        <w:t>Филиале</w:t>
      </w:r>
      <w:r>
        <w:rPr>
          <w:rFonts w:ascii="Times New Roman" w:hAnsi="Times New Roman" w:cs="Times New Roman"/>
          <w:color w:val="000000"/>
          <w:sz w:val="28"/>
          <w:szCs w:val="28"/>
        </w:rPr>
        <w:t xml:space="preserve"> реализует руководитель филиала, комиссия по противодействию коррупции и урегулированию конфликта интересов и лицо, ответственное </w:t>
      </w:r>
      <w:r>
        <w:rPr>
          <w:rFonts w:ascii="Times New Roman" w:hAnsi="Times New Roman" w:eastAsia="Lucida Sans Unicode" w:cs="Times New Roman"/>
          <w:color w:val="000000"/>
          <w:sz w:val="28"/>
          <w:szCs w:val="28"/>
        </w:rPr>
        <w:t>за организацию работы по профилактике коррупционных и иных правонарушений.</w:t>
      </w:r>
      <w:r>
        <w:rPr>
          <w:rFonts w:ascii="Times New Roman" w:hAnsi="Times New Roman" w:eastAsia="Lucida Sans Unicode" w:cs="Times New Roman"/>
          <w:sz w:val="28"/>
          <w:szCs w:val="28"/>
        </w:rPr>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Факты воспрепятствования деятельности лица, ответственного</w:t>
      </w:r>
      <w:r>
        <w:rPr>
          <w:rFonts w:ascii="Times New Roman" w:hAnsi="Times New Roman" w:eastAsia="Lucida Sans Unicode" w:cs="Times New Roman"/>
          <w:color w:val="000000"/>
          <w:sz w:val="28"/>
          <w:szCs w:val="28"/>
        </w:rPr>
        <w:t xml:space="preserve"> за организацию работы по профилактике коррупционных и иных правонарушений</w:t>
      </w:r>
      <w:r>
        <w:rPr>
          <w:rFonts w:ascii="Times New Roman" w:hAnsi="Times New Roman" w:cs="Times New Roman"/>
          <w:color w:val="000000"/>
          <w:sz w:val="28"/>
          <w:szCs w:val="28"/>
        </w:rPr>
        <w:t xml:space="preserve">, и неисполнение работниками требований, предъявляемых лицом, ответственным за организацию работы по профилактике коррупционных и иных правонарушений, в рамках установленных прав и обязанностей, незамедлительно доводятся до сведения руководителя </w:t>
      </w:r>
      <w:r>
        <w:rPr>
          <w:rFonts w:ascii="Times New Roman" w:hAnsi="Times New Roman" w:cs="Times New Roman"/>
          <w:sz w:val="28"/>
          <w:szCs w:val="28"/>
        </w:rPr>
        <w:t>филиала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r>
    </w:p>
    <w:p>
      <w:pPr>
        <w:pStyle w:val="para1"/>
        <w:ind w:firstLine="540"/>
        <w: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применяет следующие методы профилактики и противодействия коррупции: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законодательный;</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кадровый;</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мониторинга и контроля;</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духовно-нравственный.</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качестве реализации законодательного метода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и его работники соблюдают ограничения и запреты, исполняют обязанности, установленные законодательством Российской Федерации, в том числе касающиеся предотвращения и урегулирования конфликта интересов и обеспечения раскрытия информации (при возникновении личной заинтересованности), а также проводит антикоррупционную экспертизу реализуемых проектов и заключаемых договоров, осуществляет правовое просвещение работников.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кадрового метода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проводит взвешенную кадровую политику, направленную на минимизацию коррупционных рисков, связанных с приемом на работу и продвижением по службе, а также назначением </w:t>
        <w:br w:type="textWrapping"/>
        <w:t>на должности, замещение которых связанно с повышенным коррупционным риском.</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применяет метод мониторинга и контроля коррупционных рисков: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выявляет и проводит анализ и оценку (в разрезе масштаба, источников и вероятности угроз) коррупционных рисков, во всех сферах его финансово-хозяйственной деятельности, а также оценку потенциального ущерба от потенциальных рисков;</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организует и проводит на постоянной основе мониторинг и контроль коррупционных рисков, присущих </w:t>
      </w:r>
      <w:r>
        <w:rPr>
          <w:rFonts w:ascii="Times New Roman" w:hAnsi="Times New Roman" w:cs="Times New Roman"/>
          <w:color w:val="000000"/>
          <w:sz w:val="28"/>
          <w:szCs w:val="28"/>
          <w:lang w:eastAsia="en-us"/>
        </w:rPr>
        <w:t>Филиалу</w:t>
      </w:r>
      <w:r>
        <w:rPr>
          <w:rFonts w:ascii="Times New Roman" w:hAnsi="Times New Roman" w:cs="Times New Roman"/>
          <w:color w:val="000000"/>
          <w:sz w:val="28"/>
          <w:szCs w:val="28"/>
        </w:rPr>
        <w:t>;</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случае необходимости, на основании проводимого мониторинга осуществляет корректирующие изменения в своей системе противодействия коррупции и/или инициирует привлечение к ответственности в соответствии </w:t>
        <w:br w:type="textWrapping"/>
        <w:t>с законодательством Российской Федерации по факту выявленных коррупционных правонарушений.</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качестве реализации духовно-нравственного метода руководитель </w:t>
      </w: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а формирует в коллективе отношение нетерпимости ко всем формам проявления коррупции, стимулируют работников на эффективную деятельность на принципах сплоченности, открытости, добросовестности и ответственности.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Несоблюдение работниками норм и правил деловой этики может повлечь за собой применение к нарушителю дисциплинарных взысканий, а также инициирование от имени </w:t>
      </w:r>
      <w:r>
        <w:rPr>
          <w:rFonts w:ascii="Times New Roman" w:hAnsi="Times New Roman" w:cs="Times New Roman"/>
          <w:color w:val="000000"/>
          <w:sz w:val="28"/>
          <w:szCs w:val="28"/>
          <w:lang w:eastAsia="en-us"/>
        </w:rPr>
        <w:t>Филиала</w:t>
      </w:r>
      <w:r>
        <w:rPr>
          <w:rFonts w:ascii="Times New Roman" w:hAnsi="Times New Roman" w:cs="Times New Roman"/>
          <w:color w:val="000000"/>
          <w:sz w:val="28"/>
          <w:szCs w:val="28"/>
        </w:rPr>
        <w:t xml:space="preserve"> мер административной, гражданско-правовой и уголовной ответственности в порядке, предусмотренном действующим законодательством Российской Федерации.</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установления факта причинения ущерба </w:t>
      </w:r>
      <w:r>
        <w:rPr>
          <w:rFonts w:ascii="Times New Roman" w:hAnsi="Times New Roman" w:cs="Times New Roman"/>
          <w:color w:val="000000"/>
          <w:sz w:val="28"/>
          <w:szCs w:val="28"/>
          <w:lang w:eastAsia="en-us"/>
        </w:rPr>
        <w:t>Филиалу</w:t>
      </w:r>
      <w:r>
        <w:rPr>
          <w:rFonts w:ascii="Times New Roman" w:hAnsi="Times New Roman" w:cs="Times New Roman"/>
          <w:color w:val="000000"/>
          <w:sz w:val="28"/>
          <w:szCs w:val="28"/>
        </w:rPr>
        <w:t xml:space="preserve">, в том числе государственному имуществу, находящемуся в его ведении, по вине работника, </w:t>
      </w:r>
      <w:r>
        <w:rPr>
          <w:rFonts w:ascii="Times New Roman" w:hAnsi="Times New Roman" w:cs="Times New Roman"/>
          <w:color w:val="000000"/>
          <w:sz w:val="28"/>
          <w:szCs w:val="28"/>
          <w:lang w:eastAsia="en-us"/>
        </w:rPr>
        <w:t>руководитель филиал</w:t>
      </w:r>
      <w:r>
        <w:rPr>
          <w:rFonts w:ascii="Times New Roman" w:hAnsi="Times New Roman" w:cs="Times New Roman"/>
          <w:color w:val="000000"/>
          <w:sz w:val="28"/>
          <w:szCs w:val="28"/>
        </w:rPr>
        <w:t>а вправе обратиться в суд для возмещения ущерба, причиненного вследствие вышеуказанных действий (бездействия).</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Филиал</w:t>
      </w:r>
      <w:r>
        <w:rPr>
          <w:rFonts w:ascii="Times New Roman" w:hAnsi="Times New Roman" w:cs="Times New Roman"/>
          <w:color w:val="000000"/>
          <w:sz w:val="28"/>
          <w:szCs w:val="28"/>
        </w:rPr>
        <w:t xml:space="preserve"> не позднее семи дней с момента возникновения подозрения или обнаружения действий (бездействия) работников, имеющих признаки нарушения законодательства Российской Федерации о противодействии коррупции, направляет соответствующие материалы в правоохранительные органы по компетенции для осуществления установленных законодательством мероприятий с целью оценки законности действий (бездействия) соответствующих лиц.</w:t>
      </w:r>
    </w:p>
    <w:p>
      <w:pPr>
        <w:pStyle w:val="para1"/>
        <w:ind w:firstLine="540"/>
        <w: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Антикоррупционной политики </w:t>
      </w:r>
      <w:r>
        <w:rPr>
          <w:rFonts w:ascii="Times New Roman" w:hAnsi="Times New Roman" w:cs="Times New Roman"/>
          <w:color w:val="000000"/>
          <w:sz w:val="28"/>
          <w:szCs w:val="28"/>
          <w:lang w:eastAsia="en-us"/>
        </w:rPr>
        <w:t>Филиала</w:t>
      </w:r>
      <w:r>
        <w:rPr>
          <w:rFonts w:ascii="Times New Roman" w:hAnsi="Times New Roman" w:cs="Times New Roman"/>
          <w:color w:val="000000"/>
          <w:sz w:val="28"/>
          <w:szCs w:val="28"/>
        </w:rPr>
        <w:t xml:space="preserve"> содействует внедрению антикоррупционных стандартов и устанавливает порядок системы противодействия коррупции в </w:t>
      </w:r>
      <w:r>
        <w:rPr>
          <w:rFonts w:ascii="Times New Roman" w:hAnsi="Times New Roman" w:cs="Times New Roman"/>
          <w:color w:val="000000"/>
          <w:sz w:val="28"/>
          <w:szCs w:val="28"/>
          <w:lang w:eastAsia="en-us"/>
        </w:rPr>
        <w:t>Филиале</w:t>
      </w:r>
      <w:r>
        <w:rPr>
          <w:rFonts w:ascii="Times New Roman" w:hAnsi="Times New Roman" w:cs="Times New Roman"/>
          <w:color w:val="000000"/>
          <w:sz w:val="28"/>
          <w:szCs w:val="28"/>
        </w:rPr>
        <w:t xml:space="preserve">, эффективные механизмы, препятствующие коррупционным действиям, минимизирует риски вовлечения </w:t>
      </w:r>
      <w:r>
        <w:rPr>
          <w:rFonts w:ascii="Times New Roman" w:hAnsi="Times New Roman" w:cs="Times New Roman"/>
          <w:color w:val="000000"/>
          <w:sz w:val="28"/>
          <w:szCs w:val="28"/>
          <w:lang w:eastAsia="en-us"/>
        </w:rPr>
        <w:t>Филиала</w:t>
      </w:r>
      <w:r>
        <w:rPr>
          <w:rFonts w:ascii="Times New Roman" w:hAnsi="Times New Roman" w:cs="Times New Roman"/>
          <w:color w:val="000000"/>
          <w:sz w:val="28"/>
          <w:szCs w:val="28"/>
        </w:rPr>
        <w:t xml:space="preserve"> и его работников в коррупционную деятельность путем формирования негативного отношения к коррупционным проявлениям, привлечения каждого работника к реализации мероприятий по предотвращению коррупции.</w:t>
      </w:r>
    </w:p>
    <w:sectPr>
      <w:footnotePr>
        <w:pos w:val="pageBottom"/>
        <w:numFmt w:val="decimal"/>
        <w:numStart w:val="1"/>
        <w:numRestart w:val="continuous"/>
      </w:footnotePr>
      <w:endnotePr>
        <w:pos w:val="docEnd"/>
        <w:numFmt w:val="lowerRoman"/>
        <w:numStart w:val="1"/>
        <w:numRestart w:val="continuous"/>
      </w:endnotePr>
      <w:headerReference w:type="default" r:id="rId10"/>
      <w:type w:val="nextPage"/>
      <w:pgSz w:h="16838" w:w="11906"/>
      <w:pgMar w:left="1134" w:top="1134" w:right="851" w:bottom="1134" w:header="708" w:footer="0"/>
      <w:paperSrc w:first="0" w:other="0" a="0" b="0"/>
      <w:pgNumType w:fmt="decimal"/>
      <w:titlePg/>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Segoe UI">
    <w:panose1 w:val="020B0502040204020203"/>
    <w:charset w:val="cc"/>
    <w:family w:val="swiss"/>
    <w:pitch w:val="default"/>
  </w:font>
  <w:font w:name="Calibri Light">
    <w:panose1 w:val="020F0302020204030204"/>
    <w:charset w:val="cc"/>
    <w:family w:val="swiss"/>
    <w:pitch w:val="default"/>
  </w:font>
  <w:font w:name="Lucida Sans Unicode">
    <w:panose1 w:val="020B0602030504020204"/>
    <w:charset w:val="cc"/>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spacing/>
      <w:jc w:val="center"/>
    </w:pPr>
    <w:r>
      <w:fldChar w:fldCharType="begin"/>
      <w:instrText xml:space="preserve"> PAGE </w:instrText>
      <w:fldChar w:fldCharType="separate"/>
      <w:t>6</w:t>
      <w:fldChar w:fldCharType="end"/>
    </w:r>
  </w:p>
  <w:p>
    <w:pPr>
      <w:pStyle w:val="para2"/>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70"/>
      <w:tmLastPosIdx w:val="200"/>
    </w:tmLastPosCaret>
    <w:tmLastPosAnchor>
      <w:tmLastPosPgfIdx w:val="0"/>
      <w:tmLastPosIdx w:val="0"/>
    </w:tmLastPosAnchor>
    <w:tmLastPosTblRect w:left="0" w:top="0" w:right="0" w:bottom="0"/>
  </w:tmLastPos>
  <w:tmAppRevision w:date="1719914683"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eastAsia="Calibri" w:cs="Calibri"/>
      <w:sz w:val="22"/>
      <w:szCs w:val="22"/>
      <w:lang w:val="ru-ru" w:eastAsia="ru-ru" w:bidi="ar-sa"/>
    </w:rPr>
  </w:style>
  <w:style w:type="paragraph" w:styleId="para2">
    <w:name w:val="Header"/>
    <w:qFormat/>
    <w:basedOn w:val="para0"/>
    <w:pPr>
      <w:spacing w:after="0" w:line="240" w:lineRule="auto"/>
      <w:tabs defTabSz="708">
        <w:tab w:val="center" w:pos="4677" w:leader="none"/>
        <w:tab w:val="right" w:pos="9355" w:leader="none"/>
      </w:tabs>
    </w:pPr>
  </w:style>
  <w:style w:type="paragraph" w:styleId="para3">
    <w:name w:val="Footer"/>
    <w:qFormat/>
    <w:basedOn w:val="para0"/>
    <w:pPr>
      <w:spacing w:after="0" w:line="240" w:lineRule="auto"/>
      <w:tabs defTabSz="708">
        <w:tab w:val="center" w:pos="4677" w:leader="none"/>
        <w:tab w:val="right" w:pos="9355" w:leader="none"/>
      </w:tabs>
    </w:pPr>
  </w:style>
  <w:style w:type="paragraph" w:styleId="para4">
    <w:name w:val="Balloon Text"/>
    <w:qFormat/>
    <w:basedOn w:val="para0"/>
    <w:pPr>
      <w:spacing w:after="0" w:line="240" w:lineRule="auto"/>
    </w:pPr>
    <w:rPr>
      <w:rFonts w:ascii="Segoe UI" w:hAnsi="Segoe UI" w:cs="Segoe UI"/>
      <w:sz w:val="18"/>
      <w:szCs w:val="18"/>
    </w:rPr>
  </w:style>
  <w:style w:type="paragraph" w:styleId="para5" w:customStyle="1">
    <w:name w:val="Default"/>
    <w:qFormat/>
    <w:pPr>
      <w:spacing w:after="0" w:line="240" w:lineRule="auto"/>
    </w:pPr>
    <w:rPr>
      <w:rFonts w:ascii="Arial" w:hAnsi="Arial" w:eastAsia="Calibri" w:cs="Arial"/>
      <w:color w:val="000000"/>
      <w:sz w:val="24"/>
      <w:szCs w:val="24"/>
      <w:lang w:val="ru-ru" w:eastAsia="en-us" w:bidi="ar-sa"/>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выноски Знак"/>
    <w:basedOn w:val="char0"/>
    <w:rPr>
      <w:rFonts w:ascii="Segoe UI" w:hAnsi="Segoe UI" w:cs="Segoe UI"/>
      <w:sz w:val="18"/>
      <w:szCs w:val="1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eastAsia="Calibri" w:cs="Calibri"/>
      <w:sz w:val="22"/>
      <w:szCs w:val="22"/>
      <w:lang w:val="ru-ru" w:eastAsia="ru-ru" w:bidi="ar-sa"/>
    </w:rPr>
  </w:style>
  <w:style w:type="paragraph" w:styleId="para2">
    <w:name w:val="Header"/>
    <w:qFormat/>
    <w:basedOn w:val="para0"/>
    <w:pPr>
      <w:spacing w:after="0" w:line="240" w:lineRule="auto"/>
      <w:tabs defTabSz="708">
        <w:tab w:val="center" w:pos="4677" w:leader="none"/>
        <w:tab w:val="right" w:pos="9355" w:leader="none"/>
      </w:tabs>
    </w:pPr>
  </w:style>
  <w:style w:type="paragraph" w:styleId="para3">
    <w:name w:val="Footer"/>
    <w:qFormat/>
    <w:basedOn w:val="para0"/>
    <w:pPr>
      <w:spacing w:after="0" w:line="240" w:lineRule="auto"/>
      <w:tabs defTabSz="708">
        <w:tab w:val="center" w:pos="4677" w:leader="none"/>
        <w:tab w:val="right" w:pos="9355" w:leader="none"/>
      </w:tabs>
    </w:pPr>
  </w:style>
  <w:style w:type="paragraph" w:styleId="para4">
    <w:name w:val="Balloon Text"/>
    <w:qFormat/>
    <w:basedOn w:val="para0"/>
    <w:pPr>
      <w:spacing w:after="0" w:line="240" w:lineRule="auto"/>
    </w:pPr>
    <w:rPr>
      <w:rFonts w:ascii="Segoe UI" w:hAnsi="Segoe UI" w:cs="Segoe UI"/>
      <w:sz w:val="18"/>
      <w:szCs w:val="18"/>
    </w:rPr>
  </w:style>
  <w:style w:type="paragraph" w:styleId="para5" w:customStyle="1">
    <w:name w:val="Default"/>
    <w:qFormat/>
    <w:pPr>
      <w:spacing w:after="0" w:line="240" w:lineRule="auto"/>
    </w:pPr>
    <w:rPr>
      <w:rFonts w:ascii="Arial" w:hAnsi="Arial" w:eastAsia="Calibri" w:cs="Arial"/>
      <w:color w:val="000000"/>
      <w:sz w:val="24"/>
      <w:szCs w:val="24"/>
      <w:lang w:val="ru-ru" w:eastAsia="en-us" w:bidi="ar-sa"/>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выноски Знак"/>
    <w:basedOn w:val="char0"/>
    <w:rPr>
      <w:rFonts w:ascii="Segoe UI" w:hAnsi="Segoe UI" w:cs="Segoe UI"/>
      <w:sz w:val="18"/>
      <w:szCs w:val="1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consultantplus://offline/ref=060EEBAE5E9E4A0FC3EC19D27FAE4348BE8C4AC6C3AB9717667E74129E078481722FD69FDF780973F25F72p7uAH" TargetMode="External"/><Relationship Id="rId8" Type="http://schemas.openxmlformats.org/officeDocument/2006/relationships/hyperlink" Target="consultantplus://offline/ref=BB9D4A4BED973BCD993F83D524D322DC9D2D96FCB23C5D5A564F39E0F67D9ADC810C48DB93C6DDE817CF10A9E1a5r4H" TargetMode="External"/><Relationship Id="rId9" Type="http://schemas.openxmlformats.org/officeDocument/2006/relationships/hyperlink" Target="consultantplus://offline/ref=6A50C1ACACDFBAB8CFB5B587566E6A07CF0201263E589C8BAD40041303C3D2B3F950D2F33EBA3FDE311DB4E17B73F07758AEFB722E624EDBCEC4H"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Ударова Мария Андреевна</dc:creator>
  <cp:keywords/>
  <dc:description/>
  <cp:lastModifiedBy/>
  <cp:revision>11</cp:revision>
  <cp:lastPrinted>2024-05-22T14:13:00Z</cp:lastPrinted>
  <dcterms:created xsi:type="dcterms:W3CDTF">2024-05-22T14:26:00Z</dcterms:created>
  <dcterms:modified xsi:type="dcterms:W3CDTF">2024-07-02T10:04:43Z</dcterms:modified>
</cp:coreProperties>
</file>